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7890E">
      <w:pPr>
        <w:spacing w:line="560" w:lineRule="exact"/>
        <w:jc w:val="center"/>
        <w:rPr>
          <w:rFonts w:hint="eastAsia" w:ascii="仿宋_GB2312" w:hAnsi="仿宋_GB2312" w:eastAsia="仿宋_GB2312" w:cs="仿宋_GB2312"/>
          <w:sz w:val="32"/>
          <w:szCs w:val="32"/>
        </w:rPr>
      </w:pPr>
    </w:p>
    <w:p w14:paraId="485A06D2">
      <w:pPr>
        <w:spacing w:line="560" w:lineRule="exact"/>
        <w:jc w:val="center"/>
        <w:rPr>
          <w:rFonts w:hint="eastAsia" w:ascii="仿宋_GB2312" w:hAnsi="仿宋_GB2312" w:eastAsia="仿宋_GB2312" w:cs="仿宋_GB2312"/>
          <w:sz w:val="32"/>
          <w:szCs w:val="32"/>
        </w:rPr>
      </w:pPr>
    </w:p>
    <w:p w14:paraId="6EB900A5">
      <w:pPr>
        <w:spacing w:line="560" w:lineRule="exact"/>
        <w:jc w:val="center"/>
        <w:rPr>
          <w:rFonts w:hint="eastAsia" w:ascii="仿宋_GB2312" w:hAnsi="仿宋_GB2312" w:eastAsia="仿宋_GB2312" w:cs="仿宋_GB2312"/>
          <w:sz w:val="32"/>
          <w:szCs w:val="32"/>
        </w:rPr>
      </w:pPr>
    </w:p>
    <w:p w14:paraId="5946D087">
      <w:pPr>
        <w:spacing w:line="560" w:lineRule="exact"/>
        <w:jc w:val="center"/>
        <w:rPr>
          <w:rFonts w:hint="eastAsia" w:ascii="仿宋_GB2312" w:hAnsi="仿宋_GB2312" w:eastAsia="仿宋_GB2312" w:cs="仿宋_GB2312"/>
          <w:sz w:val="32"/>
          <w:szCs w:val="32"/>
        </w:rPr>
      </w:pPr>
    </w:p>
    <w:p w14:paraId="12C33A90">
      <w:pPr>
        <w:spacing w:line="560" w:lineRule="exact"/>
        <w:jc w:val="center"/>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台政</w:t>
      </w:r>
      <w:r>
        <w:rPr>
          <w:rFonts w:hint="eastAsia" w:ascii="仿宋_GB2312" w:hAnsi="仿宋_GB2312" w:eastAsia="仿宋_GB2312" w:cs="仿宋_GB2312"/>
          <w:sz w:val="32"/>
          <w:szCs w:val="32"/>
          <w:lang w:val="en-US" w:eastAsia="zh-CN"/>
        </w:rPr>
        <w:t>办字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3231D4AB">
      <w:pPr>
        <w:tabs>
          <w:tab w:val="left" w:pos="2480"/>
        </w:tabs>
        <w:bidi w:val="0"/>
        <w:jc w:val="left"/>
        <w:rPr>
          <w:rFonts w:hint="default" w:ascii="Calibri" w:hAnsi="Calibri" w:eastAsia="宋体" w:cs="Times New Roman"/>
          <w:lang w:val="en-US" w:eastAsia="zh-CN"/>
        </w:rPr>
      </w:pPr>
    </w:p>
    <w:p w14:paraId="5A118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新宋体" w:eastAsia="仿宋_GB2312"/>
          <w:sz w:val="32"/>
          <w:szCs w:val="32"/>
        </w:rPr>
      </w:pPr>
    </w:p>
    <w:p w14:paraId="0DFEADEA">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3"/>
          <w:rFonts w:hint="eastAsia" w:ascii="方正小标宋简体" w:hAnsi="方正小标宋_GBK" w:eastAsia="方正小标宋简体" w:cs="方正小标宋_GBK"/>
          <w:kern w:val="2"/>
          <w:sz w:val="44"/>
          <w:szCs w:val="44"/>
          <w:lang w:val="en-US" w:eastAsia="zh-CN" w:bidi="ar-SA"/>
        </w:rPr>
      </w:pPr>
      <w:r>
        <w:rPr>
          <w:rStyle w:val="13"/>
          <w:rFonts w:hint="eastAsia" w:ascii="方正小标宋简体" w:hAnsi="方正小标宋_GBK" w:eastAsia="方正小标宋简体" w:cs="方正小标宋_GBK"/>
          <w:kern w:val="2"/>
          <w:sz w:val="44"/>
          <w:szCs w:val="44"/>
          <w:lang w:val="en-US" w:eastAsia="zh-CN" w:bidi="ar-SA"/>
        </w:rPr>
        <w:t>台儿庄区人民政府办公室</w:t>
      </w:r>
    </w:p>
    <w:p w14:paraId="11E80C04">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Style w:val="13"/>
          <w:rFonts w:hint="eastAsia" w:ascii="方正小标宋简体" w:hAnsi="方正小标宋_GBK" w:eastAsia="方正小标宋简体" w:cs="方正小标宋_GBK"/>
          <w:sz w:val="44"/>
          <w:szCs w:val="44"/>
          <w:lang w:val="en-US" w:eastAsia="zh-CN"/>
        </w:rPr>
      </w:pPr>
      <w:r>
        <w:rPr>
          <w:rStyle w:val="13"/>
          <w:rFonts w:hint="eastAsia" w:ascii="方正小标宋简体" w:hAnsi="方正小标宋_GBK" w:eastAsia="方正小标宋简体" w:cs="方正小标宋_GBK"/>
          <w:spacing w:val="-11"/>
          <w:sz w:val="44"/>
          <w:szCs w:val="44"/>
        </w:rPr>
        <w:t>关于</w:t>
      </w:r>
      <w:r>
        <w:rPr>
          <w:rStyle w:val="13"/>
          <w:rFonts w:hint="eastAsia" w:ascii="方正小标宋简体" w:hAnsi="方正小标宋_GBK" w:eastAsia="方正小标宋简体" w:cs="方正小标宋_GBK"/>
          <w:spacing w:val="-11"/>
          <w:sz w:val="44"/>
          <w:szCs w:val="44"/>
          <w:lang w:val="en-US" w:eastAsia="zh-CN"/>
        </w:rPr>
        <w:t>印发</w:t>
      </w:r>
      <w:r>
        <w:rPr>
          <w:rStyle w:val="13"/>
          <w:rFonts w:hint="eastAsia" w:ascii="方正小标宋简体" w:hAnsi="方正小标宋_GBK" w:eastAsia="方正小标宋简体" w:cs="方正小标宋_GBK"/>
          <w:spacing w:val="-11"/>
          <w:sz w:val="44"/>
          <w:szCs w:val="44"/>
        </w:rPr>
        <w:t>《</w:t>
      </w:r>
      <w:r>
        <w:rPr>
          <w:rStyle w:val="13"/>
          <w:rFonts w:hint="eastAsia" w:ascii="方正小标宋简体" w:hAnsi="方正小标宋_GBK" w:eastAsia="方正小标宋简体" w:cs="方正小标宋_GBK"/>
          <w:spacing w:val="-11"/>
          <w:sz w:val="44"/>
          <w:szCs w:val="44"/>
          <w:lang w:val="en-US" w:eastAsia="zh-CN"/>
        </w:rPr>
        <w:t>台儿庄区“两院一体”医养结合机构三年提升行动实施方案（2026—2028年）</w:t>
      </w:r>
      <w:r>
        <w:rPr>
          <w:rStyle w:val="13"/>
          <w:rFonts w:hint="eastAsia" w:ascii="方正小标宋简体" w:hAnsi="方正小标宋_GBK" w:eastAsia="方正小标宋简体" w:cs="方正小标宋_GBK"/>
          <w:spacing w:val="-11"/>
          <w:sz w:val="44"/>
          <w:szCs w:val="44"/>
        </w:rPr>
        <w:t>》</w:t>
      </w:r>
      <w:r>
        <w:rPr>
          <w:rStyle w:val="13"/>
          <w:rFonts w:hint="eastAsia" w:ascii="方正小标宋简体" w:hAnsi="方正小标宋_GBK" w:eastAsia="方正小标宋简体" w:cs="方正小标宋_GBK"/>
          <w:sz w:val="44"/>
          <w:szCs w:val="44"/>
          <w:lang w:val="en-US" w:eastAsia="zh-CN"/>
        </w:rPr>
        <w:t>的</w:t>
      </w:r>
    </w:p>
    <w:p w14:paraId="3BE043A6">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Style w:val="13"/>
          <w:rFonts w:hint="eastAsia" w:ascii="方正小标宋简体" w:hAnsi="方正小标宋_GBK" w:eastAsia="方正小标宋简体" w:cs="方正小标宋_GBK"/>
          <w:sz w:val="44"/>
          <w:szCs w:val="44"/>
        </w:rPr>
      </w:pPr>
      <w:r>
        <w:rPr>
          <w:rStyle w:val="13"/>
          <w:rFonts w:hint="eastAsia" w:ascii="方正小标宋简体" w:hAnsi="方正小标宋_GBK" w:eastAsia="方正小标宋简体" w:cs="方正小标宋_GBK"/>
          <w:sz w:val="44"/>
          <w:szCs w:val="44"/>
          <w:lang w:val="en-US" w:eastAsia="zh-CN"/>
        </w:rPr>
        <w:t>通  知</w:t>
      </w:r>
    </w:p>
    <w:p w14:paraId="01A21A61">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Style w:val="13"/>
          <w:rFonts w:hint="eastAsia" w:ascii="方正小标宋简体" w:hAnsi="方正小标宋_GBK" w:eastAsia="方正小标宋简体" w:cs="方正小标宋_GBK"/>
          <w:sz w:val="44"/>
          <w:szCs w:val="44"/>
        </w:rPr>
      </w:pPr>
    </w:p>
    <w:p w14:paraId="3FBEBFDA">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各镇人民政府，运河街道办事处，经济开发区，</w:t>
      </w:r>
      <w:r>
        <w:rPr>
          <w:rFonts w:hint="eastAsia" w:ascii="仿宋_GB2312" w:eastAsia="仿宋_GB2312"/>
          <w:sz w:val="32"/>
          <w:szCs w:val="32"/>
          <w:lang w:val="en-US" w:eastAsia="zh-CN"/>
        </w:rPr>
        <w:t>区直</w:t>
      </w:r>
      <w:r>
        <w:rPr>
          <w:rFonts w:hint="eastAsia" w:ascii="仿宋_GB2312" w:eastAsia="仿宋_GB2312"/>
          <w:sz w:val="32"/>
          <w:szCs w:val="32"/>
          <w:lang w:eastAsia="zh-CN"/>
        </w:rPr>
        <w:t>各</w:t>
      </w:r>
      <w:r>
        <w:rPr>
          <w:rFonts w:hint="eastAsia" w:ascii="仿宋_GB2312" w:eastAsia="仿宋_GB2312"/>
          <w:sz w:val="32"/>
          <w:szCs w:val="32"/>
          <w:lang w:val="en-US" w:eastAsia="zh-CN"/>
        </w:rPr>
        <w:t>有关</w:t>
      </w:r>
      <w:r>
        <w:rPr>
          <w:rFonts w:hint="eastAsia" w:ascii="仿宋_GB2312" w:eastAsia="仿宋_GB2312"/>
          <w:sz w:val="32"/>
          <w:szCs w:val="32"/>
          <w:lang w:eastAsia="zh-CN"/>
        </w:rPr>
        <w:t>部门</w:t>
      </w:r>
      <w:r>
        <w:rPr>
          <w:rFonts w:hint="eastAsia" w:ascii="仿宋_GB2312" w:hAnsi="宋体" w:eastAsia="仿宋_GB2312" w:cs="宋体"/>
          <w:kern w:val="0"/>
          <w:sz w:val="32"/>
          <w:szCs w:val="32"/>
        </w:rPr>
        <w:t>，</w:t>
      </w:r>
      <w:r>
        <w:rPr>
          <w:rFonts w:ascii="仿宋_GB2312" w:hAnsi="宋体" w:eastAsia="仿宋_GB2312" w:cs="宋体"/>
          <w:kern w:val="0"/>
          <w:sz w:val="32"/>
          <w:szCs w:val="32"/>
        </w:rPr>
        <w:t>各人民团体</w:t>
      </w:r>
      <w:r>
        <w:rPr>
          <w:rFonts w:hint="eastAsia" w:ascii="仿宋_GB2312" w:hAnsi="宋体" w:eastAsia="仿宋_GB2312" w:cs="仿宋_GB2312"/>
          <w:color w:val="000000"/>
          <w:kern w:val="0"/>
          <w:sz w:val="32"/>
          <w:szCs w:val="32"/>
          <w:u w:val="none"/>
          <w:lang w:val="en-US" w:eastAsia="zh-CN" w:bidi="ar"/>
        </w:rPr>
        <w:t>：</w:t>
      </w:r>
    </w:p>
    <w:p w14:paraId="13D4223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《台儿庄区“两院一体”医养结合机构三年提升行动实施方案（2026—2028年）》已经区人民政府同意，现印发给你们，请认真贯彻执行。</w:t>
      </w:r>
    </w:p>
    <w:p w14:paraId="7D94AE28">
      <w:pPr>
        <w:pStyle w:val="6"/>
        <w:keepNext w:val="0"/>
        <w:keepLines w:val="0"/>
        <w:pageBreakBefore w:val="0"/>
        <w:widowControl w:val="0"/>
        <w:overflowPunct/>
        <w:topLinePunct w:val="0"/>
        <w:bidi w:val="0"/>
        <w:spacing w:line="560" w:lineRule="exact"/>
        <w:ind w:left="0" w:leftChars="0" w:firstLine="0" w:firstLineChars="0"/>
      </w:pPr>
    </w:p>
    <w:p w14:paraId="61782FE3">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仿宋_GB2312" w:hAnsi="楷体_GB2312" w:eastAsia="仿宋_GB2312" w:cs="楷体_GB2312"/>
          <w:color w:val="000000"/>
          <w:spacing w:val="0"/>
          <w:sz w:val="32"/>
          <w:szCs w:val="20"/>
          <w:lang w:val="en-US" w:eastAsia="zh-CN"/>
        </w:rPr>
      </w:pPr>
      <w:r>
        <w:rPr>
          <w:rFonts w:hint="eastAsia" w:ascii="仿宋_GB2312" w:hAnsi="楷体_GB2312" w:eastAsia="仿宋_GB2312" w:cs="楷体_GB2312"/>
          <w:color w:val="000000"/>
          <w:spacing w:val="0"/>
          <w:sz w:val="32"/>
          <w:szCs w:val="20"/>
        </w:rPr>
        <w:t>台儿庄区人民政府</w:t>
      </w:r>
      <w:r>
        <w:rPr>
          <w:rFonts w:hint="eastAsia" w:ascii="仿宋_GB2312" w:hAnsi="楷体_GB2312" w:eastAsia="仿宋_GB2312" w:cs="楷体_GB2312"/>
          <w:color w:val="000000"/>
          <w:spacing w:val="0"/>
          <w:sz w:val="32"/>
          <w:szCs w:val="20"/>
          <w:lang w:val="en-US" w:eastAsia="zh-CN"/>
        </w:rPr>
        <w:t xml:space="preserve">办公室        </w:t>
      </w:r>
    </w:p>
    <w:p w14:paraId="5077161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楷体_GB2312" w:eastAsia="仿宋_GB2312" w:cs="楷体_GB2312"/>
          <w:color w:val="000000"/>
          <w:spacing w:val="0"/>
          <w:sz w:val="32"/>
          <w:szCs w:val="20"/>
          <w:lang w:val="en-US" w:eastAsia="zh-CN"/>
        </w:rPr>
      </w:pPr>
      <w:r>
        <w:rPr>
          <w:rFonts w:hint="eastAsia" w:ascii="仿宋_GB2312" w:hAnsi="楷体_GB2312" w:eastAsia="仿宋_GB2312" w:cs="楷体_GB2312"/>
          <w:color w:val="000000"/>
          <w:spacing w:val="0"/>
          <w:sz w:val="32"/>
          <w:szCs w:val="20"/>
        </w:rPr>
        <w:t>20</w:t>
      </w:r>
      <w:r>
        <w:rPr>
          <w:rFonts w:ascii="仿宋_GB2312" w:hAnsi="楷体_GB2312" w:eastAsia="仿宋_GB2312" w:cs="楷体_GB2312"/>
          <w:color w:val="000000"/>
          <w:spacing w:val="0"/>
          <w:sz w:val="32"/>
          <w:szCs w:val="20"/>
        </w:rPr>
        <w:t>2</w:t>
      </w:r>
      <w:r>
        <w:rPr>
          <w:rFonts w:hint="eastAsia" w:ascii="仿宋_GB2312" w:hAnsi="楷体_GB2312" w:eastAsia="仿宋_GB2312" w:cs="楷体_GB2312"/>
          <w:color w:val="000000"/>
          <w:spacing w:val="0"/>
          <w:sz w:val="32"/>
          <w:szCs w:val="20"/>
          <w:lang w:val="en-US" w:eastAsia="zh-CN"/>
        </w:rPr>
        <w:t>6</w:t>
      </w:r>
      <w:r>
        <w:rPr>
          <w:rFonts w:hint="eastAsia" w:ascii="仿宋_GB2312" w:hAnsi="楷体_GB2312" w:eastAsia="仿宋_GB2312" w:cs="楷体_GB2312"/>
          <w:color w:val="000000"/>
          <w:spacing w:val="0"/>
          <w:sz w:val="32"/>
          <w:szCs w:val="20"/>
        </w:rPr>
        <w:t>年</w:t>
      </w:r>
      <w:r>
        <w:rPr>
          <w:rFonts w:hint="eastAsia" w:ascii="仿宋_GB2312" w:hAnsi="楷体_GB2312" w:eastAsia="仿宋_GB2312" w:cs="楷体_GB2312"/>
          <w:color w:val="000000"/>
          <w:spacing w:val="0"/>
          <w:sz w:val="32"/>
          <w:szCs w:val="20"/>
          <w:lang w:val="en-US" w:eastAsia="zh-CN"/>
        </w:rPr>
        <w:t>5</w:t>
      </w:r>
      <w:r>
        <w:rPr>
          <w:rFonts w:hint="eastAsia" w:ascii="仿宋_GB2312" w:hAnsi="楷体_GB2312" w:eastAsia="仿宋_GB2312" w:cs="楷体_GB2312"/>
          <w:color w:val="000000"/>
          <w:spacing w:val="0"/>
          <w:sz w:val="32"/>
          <w:szCs w:val="20"/>
        </w:rPr>
        <w:t>月</w:t>
      </w:r>
      <w:r>
        <w:rPr>
          <w:rFonts w:hint="eastAsia" w:ascii="仿宋_GB2312" w:hAnsi="楷体_GB2312" w:eastAsia="仿宋_GB2312" w:cs="楷体_GB2312"/>
          <w:color w:val="000000"/>
          <w:spacing w:val="0"/>
          <w:sz w:val="32"/>
          <w:szCs w:val="20"/>
          <w:lang w:val="en-US" w:eastAsia="zh-CN"/>
        </w:rPr>
        <w:t>30</w:t>
      </w:r>
      <w:r>
        <w:rPr>
          <w:rFonts w:hint="eastAsia" w:ascii="仿宋_GB2312" w:hAnsi="楷体_GB2312" w:eastAsia="仿宋_GB2312" w:cs="楷体_GB2312"/>
          <w:color w:val="000000"/>
          <w:spacing w:val="0"/>
          <w:sz w:val="32"/>
          <w:szCs w:val="20"/>
        </w:rPr>
        <w:t>日</w:t>
      </w:r>
      <w:r>
        <w:rPr>
          <w:rFonts w:hint="eastAsia" w:ascii="仿宋_GB2312" w:hAnsi="楷体_GB2312" w:eastAsia="仿宋_GB2312" w:cs="楷体_GB2312"/>
          <w:color w:val="000000"/>
          <w:spacing w:val="0"/>
          <w:sz w:val="32"/>
          <w:szCs w:val="20"/>
          <w:lang w:val="en-US" w:eastAsia="zh-CN"/>
        </w:rPr>
        <w:t xml:space="preserve">    </w:t>
      </w:r>
    </w:p>
    <w:p w14:paraId="3C2374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楷体_GB2312" w:eastAsia="仿宋_GB2312" w:cs="楷体_GB2312"/>
          <w:color w:val="000000"/>
          <w:spacing w:val="0"/>
          <w:sz w:val="32"/>
          <w:szCs w:val="20"/>
          <w:lang w:val="en-US" w:eastAsia="zh-CN"/>
        </w:rPr>
      </w:pPr>
    </w:p>
    <w:p w14:paraId="3BD44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楷体_GB2312" w:eastAsia="仿宋_GB2312" w:cs="楷体_GB2312"/>
          <w:color w:val="000000"/>
          <w:spacing w:val="0"/>
          <w:sz w:val="32"/>
          <w:szCs w:val="20"/>
          <w:lang w:val="en-US" w:eastAsia="zh-CN"/>
        </w:rPr>
      </w:pPr>
      <w:r>
        <w:rPr>
          <w:rFonts w:hint="eastAsia" w:ascii="仿宋_GB2312" w:hAnsi="楷体_GB2312" w:eastAsia="仿宋_GB2312" w:cs="楷体_GB2312"/>
          <w:color w:val="000000"/>
          <w:spacing w:val="0"/>
          <w:sz w:val="32"/>
          <w:szCs w:val="20"/>
          <w:lang w:val="en-US" w:eastAsia="zh-CN"/>
        </w:rPr>
        <w:t>（此件公开发布）</w:t>
      </w:r>
    </w:p>
    <w:p w14:paraId="0B9212B2">
      <w:pPr>
        <w:rPr>
          <w:rFonts w:hint="eastAsia" w:ascii="方正小标宋简体" w:hAnsi="方正小标宋简体" w:eastAsia="方正小标宋简体" w:cs="方正小标宋简体"/>
          <w:strike w:val="0"/>
          <w:dstrike w:val="0"/>
          <w:color w:val="auto"/>
          <w:sz w:val="44"/>
          <w:szCs w:val="44"/>
          <w:highlight w:val="none"/>
          <w:lang w:val="en-US" w:eastAsia="zh-CN"/>
        </w:rPr>
      </w:pPr>
      <w:r>
        <w:rPr>
          <w:rFonts w:hint="eastAsia" w:ascii="方正小标宋简体" w:hAnsi="方正小标宋简体" w:eastAsia="方正小标宋简体" w:cs="方正小标宋简体"/>
          <w:strike w:val="0"/>
          <w:dstrike w:val="0"/>
          <w:color w:val="auto"/>
          <w:sz w:val="44"/>
          <w:szCs w:val="44"/>
          <w:highlight w:val="none"/>
          <w:lang w:val="en-US" w:eastAsia="zh-CN"/>
        </w:rPr>
        <w:br w:type="page"/>
      </w:r>
    </w:p>
    <w:p w14:paraId="40DFCA4C">
      <w:pPr>
        <w:keepNext w:val="0"/>
        <w:keepLines w:val="0"/>
        <w:pageBreakBefore w:val="0"/>
        <w:widowControl w:val="0"/>
        <w:kinsoku/>
        <w:wordWrap/>
        <w:overflowPunct/>
        <w:topLinePunct/>
        <w:autoSpaceDE w:val="0"/>
        <w:autoSpaceDN w:val="0"/>
        <w:bidi w:val="0"/>
        <w:adjustRightInd/>
        <w:snapToGrid/>
        <w:spacing w:line="560" w:lineRule="exact"/>
        <w:ind w:left="0" w:right="0"/>
        <w:jc w:val="center"/>
        <w:textAlignment w:val="auto"/>
        <w:rPr>
          <w:rFonts w:hint="eastAsia" w:ascii="方正小标宋简体" w:hAnsi="方正小标宋简体" w:eastAsia="方正小标宋简体" w:cs="方正小标宋简体"/>
          <w:strike w:val="0"/>
          <w:dstrike w:val="0"/>
          <w:color w:val="auto"/>
          <w:sz w:val="44"/>
          <w:szCs w:val="44"/>
          <w:highlight w:val="none"/>
          <w:lang w:val="en-US" w:eastAsia="zh-CN"/>
        </w:rPr>
      </w:pPr>
      <w:r>
        <w:rPr>
          <w:rFonts w:hint="eastAsia" w:ascii="方正小标宋简体" w:hAnsi="方正小标宋简体" w:eastAsia="方正小标宋简体" w:cs="方正小标宋简体"/>
          <w:strike w:val="0"/>
          <w:dstrike w:val="0"/>
          <w:color w:val="auto"/>
          <w:sz w:val="44"/>
          <w:szCs w:val="44"/>
          <w:highlight w:val="none"/>
          <w:lang w:val="en-US" w:eastAsia="zh-CN"/>
        </w:rPr>
        <w:t>台儿庄区“两院一体”医养结合机构</w:t>
      </w:r>
    </w:p>
    <w:p w14:paraId="55B5792A">
      <w:pPr>
        <w:keepNext w:val="0"/>
        <w:keepLines w:val="0"/>
        <w:pageBreakBefore w:val="0"/>
        <w:widowControl w:val="0"/>
        <w:kinsoku/>
        <w:wordWrap/>
        <w:overflowPunct/>
        <w:topLinePunct/>
        <w:autoSpaceDE w:val="0"/>
        <w:autoSpaceDN w:val="0"/>
        <w:bidi w:val="0"/>
        <w:adjustRightInd/>
        <w:snapToGrid/>
        <w:spacing w:line="560" w:lineRule="exact"/>
        <w:ind w:left="0" w:right="0"/>
        <w:jc w:val="center"/>
        <w:textAlignment w:val="auto"/>
        <w:rPr>
          <w:rFonts w:hint="eastAsia" w:ascii="方正小标宋简体" w:hAnsi="方正小标宋简体" w:eastAsia="方正小标宋简体" w:cs="方正小标宋简体"/>
          <w:strike w:val="0"/>
          <w:dstrike w:val="0"/>
          <w:color w:val="auto"/>
          <w:sz w:val="44"/>
          <w:szCs w:val="44"/>
          <w:highlight w:val="none"/>
          <w:lang w:val="en-US" w:eastAsia="zh-CN"/>
        </w:rPr>
      </w:pPr>
      <w:r>
        <w:rPr>
          <w:rFonts w:hint="eastAsia" w:ascii="方正小标宋简体" w:hAnsi="方正小标宋简体" w:eastAsia="方正小标宋简体" w:cs="方正小标宋简体"/>
          <w:strike w:val="0"/>
          <w:dstrike w:val="0"/>
          <w:color w:val="auto"/>
          <w:sz w:val="44"/>
          <w:szCs w:val="44"/>
          <w:highlight w:val="none"/>
          <w:lang w:val="en-US" w:eastAsia="zh-CN"/>
        </w:rPr>
        <w:t>三年提升行动实施方案（2026—2028年）</w:t>
      </w:r>
    </w:p>
    <w:p w14:paraId="35216ADC">
      <w:pPr>
        <w:keepNext w:val="0"/>
        <w:keepLines w:val="0"/>
        <w:pageBreakBefore w:val="0"/>
        <w:widowControl w:val="0"/>
        <w:kinsoku/>
        <w:wordWrap/>
        <w:overflowPunct/>
        <w:topLinePunct/>
        <w:autoSpaceDE w:val="0"/>
        <w:autoSpaceDN w:val="0"/>
        <w:bidi w:val="0"/>
        <w:adjustRightInd/>
        <w:snapToGrid/>
        <w:spacing w:line="560" w:lineRule="exact"/>
        <w:ind w:left="0" w:right="0"/>
        <w:jc w:val="center"/>
        <w:textAlignment w:val="auto"/>
        <w:rPr>
          <w:rFonts w:hint="eastAsia" w:ascii="方正小标宋简体" w:hAnsi="方正小标宋简体" w:eastAsia="方正小标宋简体" w:cs="方正小标宋简体"/>
          <w:strike w:val="0"/>
          <w:dstrike w:val="0"/>
          <w:color w:val="auto"/>
          <w:sz w:val="44"/>
          <w:szCs w:val="44"/>
          <w:highlight w:val="none"/>
          <w:lang w:val="en-US" w:eastAsia="zh-CN"/>
        </w:rPr>
      </w:pPr>
    </w:p>
    <w:p w14:paraId="7BAB0E4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为积极应对人口老龄化趋势，全面落实国家、省、市关于医养结合工作的决策部署，根据枣庄市人民政府办公室《关于印发枣庄市“两院一体”医养结合机构三年提升行动实施方案（2026—2028年）的通知》（枣政办字〔2025〕28号）要求，结合我区卫生健康与养老服务资源实际，推动镇（街道）卫生院（社区卫生服务中心）与敬老院（养老机构）“两院一体”深度融合发展，切实满足老年人多元化健康养老需求，特制定本实施方案。</w:t>
      </w:r>
    </w:p>
    <w:p w14:paraId="54142BE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一、主要目标</w:t>
      </w:r>
    </w:p>
    <w:p w14:paraId="5E5A6E15">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坚持“资源共享、服务衔接、医养融合、优势互补”核心原则，以整合医疗养老资源为目标，构建政府主导、市场推动、国企参与、社会协同的养老服务发展模式。立足台儿庄区医养禀赋，因地制宜优化布局，将养老服务与医疗服务有机结合。通过三年行动，基本建成布局合理、服务优质、管理规范、衔接有序的“两院一体”医养结合服务体系，显著提升老年人的获得感、幸福感、安全感，打造具有区域辨识度的医养结合“台儿庄模式”。具体目标如下：</w:t>
      </w:r>
    </w:p>
    <w:p w14:paraId="405E4D41">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1.机构融合应建尽建：</w:t>
      </w:r>
      <w:r>
        <w:rPr>
          <w:rFonts w:hint="eastAsia" w:ascii="仿宋_GB2312" w:hAnsi="仿宋_GB2312" w:eastAsia="仿宋_GB2312" w:cs="仿宋_GB2312"/>
          <w:strike w:val="0"/>
          <w:dstrike w:val="0"/>
          <w:color w:val="auto"/>
          <w:sz w:val="32"/>
          <w:szCs w:val="32"/>
          <w:highlight w:val="none"/>
          <w:lang w:val="en-US" w:eastAsia="zh-CN"/>
        </w:rPr>
        <w:t>符合条件的镇（街道）卫生院（社区卫生服务中心）全部建成“两院一体”医养结合机构，实现“医养结合”两院一体管理模式全面落地、常态运转。</w:t>
      </w:r>
    </w:p>
    <w:p w14:paraId="2A3B743D">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2.服务能力全方位提升：</w:t>
      </w:r>
      <w:r>
        <w:rPr>
          <w:rFonts w:hint="eastAsia" w:ascii="仿宋_GB2312" w:hAnsi="仿宋_GB2312" w:eastAsia="仿宋_GB2312" w:cs="仿宋_GB2312"/>
          <w:strike w:val="0"/>
          <w:dstrike w:val="0"/>
          <w:color w:val="auto"/>
          <w:sz w:val="32"/>
          <w:szCs w:val="32"/>
          <w:highlight w:val="none"/>
          <w:lang w:val="en-US" w:eastAsia="zh-CN"/>
        </w:rPr>
        <w:t>2026年提供中医药、康复、安宁疗护服务的机构占比达60%，2027年提升至80%，2028年实现100%；2028年底所有机构均能提供居家及社区上门服务。</w:t>
      </w:r>
    </w:p>
    <w:p w14:paraId="32A24F92">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3.智慧服务全场景渗透：</w:t>
      </w:r>
      <w:r>
        <w:rPr>
          <w:rFonts w:hint="eastAsia" w:ascii="仿宋_GB2312" w:hAnsi="仿宋_GB2312" w:eastAsia="仿宋_GB2312" w:cs="仿宋_GB2312"/>
          <w:strike w:val="0"/>
          <w:dstrike w:val="0"/>
          <w:color w:val="auto"/>
          <w:sz w:val="32"/>
          <w:szCs w:val="32"/>
          <w:highlight w:val="none"/>
          <w:lang w:val="en-US" w:eastAsia="zh-CN"/>
        </w:rPr>
        <w:t>2028年底前，实现“鲁医助手”智能辅助诊断、心电辅助诊断、影像诊断“三张网”全覆盖，接入市级“互联网+医养”服务平台，为老年人提供专业便捷的医养新体验。</w:t>
      </w:r>
    </w:p>
    <w:p w14:paraId="44A39125">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4.运营效能全维度优化：</w:t>
      </w:r>
      <w:r>
        <w:rPr>
          <w:rFonts w:hint="eastAsia" w:ascii="仿宋_GB2312" w:hAnsi="仿宋_GB2312" w:eastAsia="仿宋_GB2312" w:cs="仿宋_GB2312"/>
          <w:strike w:val="0"/>
          <w:dstrike w:val="0"/>
          <w:color w:val="auto"/>
          <w:sz w:val="32"/>
          <w:szCs w:val="32"/>
          <w:highlight w:val="none"/>
          <w:lang w:val="en-US" w:eastAsia="zh-CN"/>
        </w:rPr>
        <w:t>从业人员年培训不少于100人次，护理员持证上岗率达100%；2028年底养老床位使用率达75%，服务对象满意度稳定在95%以上，创建市级示范机构不少于3家，积极争创全国医养结合示范县。</w:t>
      </w:r>
    </w:p>
    <w:p w14:paraId="54A640DE">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二、重点任务</w:t>
      </w:r>
    </w:p>
    <w:p w14:paraId="0CCF14D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（一）实施“医养资源聚合”工程，构建一体化服务载体</w:t>
      </w:r>
    </w:p>
    <w:p w14:paraId="4ED6E966">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1.构建一体化管理架构。</w:t>
      </w:r>
      <w:r>
        <w:rPr>
          <w:rFonts w:hint="eastAsia" w:ascii="仿宋_GB2312" w:hAnsi="仿宋_GB2312" w:eastAsia="仿宋_GB2312" w:cs="仿宋_GB2312"/>
          <w:strike w:val="0"/>
          <w:dstrike w:val="0"/>
          <w:color w:val="auto"/>
          <w:sz w:val="32"/>
          <w:szCs w:val="32"/>
          <w:highlight w:val="none"/>
          <w:lang w:val="en-US" w:eastAsia="zh-CN"/>
        </w:rPr>
        <w:t>推行镇（街道）“医养联合体”管理模式，由镇（街道）卫生院（社区卫生服务中心）牵头，整合辖区内敬老院资源，实现“统一法人管理、统一人员调配、统一财务核算、统一服务标准”。负责养老照护与医疗服务的衔接调度，康养服务收支单独建账、独立核算，保障运营规范透明。</w:t>
      </w:r>
      <w:r>
        <w:rPr>
          <w:rFonts w:hint="eastAsia" w:ascii="楷体_GB2312" w:hAnsi="楷体_GB2312" w:eastAsia="楷体_GB2312" w:cs="楷体_GB2312"/>
          <w:strike w:val="0"/>
          <w:dstrike w:val="0"/>
          <w:color w:val="auto"/>
          <w:sz w:val="32"/>
          <w:szCs w:val="32"/>
          <w:highlight w:val="none"/>
          <w:lang w:val="en-US" w:eastAsia="zh-CN"/>
        </w:rPr>
        <w:t>（责任单位：区委编办、区民政局、区卫生健康局、各镇〈街道〉）</w:t>
      </w:r>
    </w:p>
    <w:p w14:paraId="4721BDB7">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2.推进设施精准化升级。</w:t>
      </w:r>
      <w:r>
        <w:rPr>
          <w:rFonts w:hint="eastAsia" w:ascii="仿宋_GB2312" w:hAnsi="仿宋_GB2312" w:eastAsia="仿宋_GB2312" w:cs="仿宋_GB2312"/>
          <w:strike w:val="0"/>
          <w:dstrike w:val="0"/>
          <w:color w:val="auto"/>
          <w:sz w:val="32"/>
          <w:szCs w:val="32"/>
          <w:highlight w:val="none"/>
          <w:lang w:val="en-US" w:eastAsia="zh-CN"/>
        </w:rPr>
        <w:t>开展医疗养老设施“地毯式”摸排，重点整合闲置校舍、旧厂房等资源用于医养项目。2026年完成张山子镇卫生院银杏颐养院二期扩建工程，新增床位27张。实施“三年项目清单”，完成张山子镇卫生院“两院一体”医养结合改造项目，新增床位80张；完成马兰屯镇医养康复中心一期项目，新增医养床位81张；完成泥沟镇敬老院“两院一体”医养结合改造项目，新增医养床位100张；推进山东锦阳集团运河街道综合养老服务中心适老化改造，嵌入运河街道社区卫生服务中心医疗团队，规划床位50张；推进邳庄镇社会福利院适老化改造，嵌入邳庄镇卫生院医疗团队，规划床位70张。2027年完成涧头集镇薛庄院区“两院一体”医养结合项目建设并投入运营，新增床位80张。2028年完成马兰屯镇医养康复中心二期项目建设，扩建6000平方米养老功能区，新增医养床位100张，设立认知障碍照护专区等特色功能区。支持“两院一体”医养结合机构改造基础设施、提升服务能力，提供多元化养老服务，建成具备基本医疗服务、日间照料、居家上门等功能的区域医养服务中心。</w:t>
      </w:r>
      <w:r>
        <w:rPr>
          <w:rFonts w:hint="eastAsia" w:ascii="楷体_GB2312" w:hAnsi="楷体_GB2312" w:eastAsia="楷体_GB2312" w:cs="楷体_GB2312"/>
          <w:strike w:val="0"/>
          <w:dstrike w:val="0"/>
          <w:color w:val="auto"/>
          <w:sz w:val="32"/>
          <w:szCs w:val="32"/>
          <w:highlight w:val="none"/>
          <w:lang w:val="en-US" w:eastAsia="zh-CN"/>
        </w:rPr>
        <w:t>（责任单位：区民政局、区自然资源局、区卫生健康局、各镇〈街道〉）</w:t>
      </w:r>
    </w:p>
    <w:p w14:paraId="4FCFB8BD">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3.引导多元主体参与。</w:t>
      </w:r>
      <w:r>
        <w:rPr>
          <w:rFonts w:hint="eastAsia" w:ascii="仿宋_GB2312" w:hAnsi="仿宋_GB2312" w:eastAsia="仿宋_GB2312" w:cs="仿宋_GB2312"/>
          <w:strike w:val="0"/>
          <w:dstrike w:val="0"/>
          <w:color w:val="auto"/>
          <w:sz w:val="32"/>
          <w:szCs w:val="32"/>
          <w:highlight w:val="none"/>
          <w:lang w:val="en-US" w:eastAsia="zh-CN"/>
        </w:rPr>
        <w:t>统筹“如康家园”“优抚医院”等康复资源，为残疾老人、退役军人提供专属服务；鼓励辖区企业、社团捐赠支持；搭建志愿服务对接平台，引导机关干部、医护人员、在校学生、社会组织等群体组建专业化志愿者队伍，参与医养结合服务。</w:t>
      </w:r>
      <w:r>
        <w:rPr>
          <w:rFonts w:hint="eastAsia" w:ascii="楷体_GB2312" w:hAnsi="楷体_GB2312" w:eastAsia="楷体_GB2312" w:cs="楷体_GB2312"/>
          <w:strike w:val="0"/>
          <w:dstrike w:val="0"/>
          <w:color w:val="auto"/>
          <w:sz w:val="32"/>
          <w:szCs w:val="32"/>
          <w:highlight w:val="none"/>
          <w:lang w:val="en-US" w:eastAsia="zh-CN"/>
        </w:rPr>
        <w:t>（责任单位：区总工会、共青团枣庄市台儿庄区委、区妇女联合会、区残联、区委社会工作部、区发展和改革局、区民政局、区财政局、区卫生健康局、区退役军人事务局）</w:t>
      </w:r>
    </w:p>
    <w:p w14:paraId="56A070A9">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default"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4.打造示范引领品牌。</w:t>
      </w:r>
      <w:r>
        <w:rPr>
          <w:rFonts w:hint="eastAsia" w:ascii="仿宋_GB2312" w:hAnsi="仿宋_GB2312" w:eastAsia="仿宋_GB2312" w:cs="仿宋_GB2312"/>
          <w:strike w:val="0"/>
          <w:dstrike w:val="0"/>
          <w:color w:val="auto"/>
          <w:sz w:val="32"/>
          <w:szCs w:val="32"/>
          <w:highlight w:val="none"/>
          <w:lang w:val="en-US" w:eastAsia="zh-CN"/>
        </w:rPr>
        <w:t>鼓励各机构结合自身优势打造特色服务，定期总结推广先进经验。通过媒体宣传、现场观摩、经验交流等形式，提升“台儿庄模式”的影响力和美誉度。积极争创全国医养结合示范县、示范机构，为幸福台儿庄建设贡献力量。</w:t>
      </w:r>
      <w:r>
        <w:rPr>
          <w:rFonts w:hint="eastAsia" w:ascii="楷体_GB2312" w:hAnsi="楷体_GB2312" w:eastAsia="楷体_GB2312" w:cs="楷体_GB2312"/>
          <w:strike w:val="0"/>
          <w:dstrike w:val="0"/>
          <w:color w:val="auto"/>
          <w:sz w:val="32"/>
          <w:szCs w:val="32"/>
          <w:highlight w:val="none"/>
          <w:lang w:val="en-US" w:eastAsia="zh-CN"/>
        </w:rPr>
        <w:t>（责任单位：区卫生健康局、区民政局）</w:t>
      </w:r>
    </w:p>
    <w:p w14:paraId="29BF66E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（二）实施“医养服务提质”工程，满足全周期需求</w:t>
      </w:r>
    </w:p>
    <w:p w14:paraId="69E6A11F">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1.打造分级诊疗服务链。</w:t>
      </w:r>
      <w:r>
        <w:rPr>
          <w:rFonts w:hint="eastAsia" w:ascii="仿宋_GB2312" w:hAnsi="仿宋_GB2312" w:eastAsia="仿宋_GB2312" w:cs="仿宋_GB2312"/>
          <w:strike w:val="0"/>
          <w:dstrike w:val="0"/>
          <w:color w:val="auto"/>
          <w:sz w:val="32"/>
          <w:szCs w:val="32"/>
          <w:highlight w:val="none"/>
          <w:lang w:val="en-US" w:eastAsia="zh-CN"/>
        </w:rPr>
        <w:t>建立“健康档案+诊疗计划+康复方案”三维管理体系，常见病在机构内解决，急重症通过绿色通道转诊，康复期回机构进行后续护理，实现“诊疗－康复－养老”无缝衔接。</w:t>
      </w:r>
      <w:r>
        <w:rPr>
          <w:rFonts w:hint="eastAsia" w:ascii="楷体_GB2312" w:hAnsi="楷体_GB2312" w:eastAsia="楷体_GB2312" w:cs="楷体_GB2312"/>
          <w:strike w:val="0"/>
          <w:dstrike w:val="0"/>
          <w:color w:val="auto"/>
          <w:sz w:val="32"/>
          <w:szCs w:val="32"/>
          <w:highlight w:val="none"/>
          <w:lang w:val="en-US" w:eastAsia="zh-CN"/>
        </w:rPr>
        <w:t>（责任单位：区民政局、区卫生健康局、区医保局）</w:t>
      </w:r>
    </w:p>
    <w:p w14:paraId="21446077">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2.开展分类照护服务。</w:t>
      </w:r>
      <w:r>
        <w:rPr>
          <w:rFonts w:hint="eastAsia" w:ascii="仿宋_GB2312" w:hAnsi="仿宋_GB2312" w:eastAsia="仿宋_GB2312" w:cs="仿宋_GB2312"/>
          <w:strike w:val="0"/>
          <w:dstrike w:val="0"/>
          <w:color w:val="auto"/>
          <w:sz w:val="32"/>
          <w:szCs w:val="32"/>
          <w:highlight w:val="none"/>
          <w:lang w:val="en-US" w:eastAsia="zh-CN"/>
        </w:rPr>
        <w:t>按健康状况将服务对象分为“健康活力型”“半失能型”“失能失智型”，分别提供生活照料、康复护理、24小时专人照护服务。规范设立失能失智老人、残疾人等照护专区，为残疾老人及伤残退役军人提供治疗期住院、康复期护理、稳定期生活照料和健康养老服务，为临终老年人提供安宁疗护服务。</w:t>
      </w:r>
      <w:r>
        <w:rPr>
          <w:rFonts w:hint="eastAsia" w:ascii="楷体_GB2312" w:hAnsi="楷体_GB2312" w:eastAsia="楷体_GB2312" w:cs="楷体_GB2312"/>
          <w:strike w:val="0"/>
          <w:dstrike w:val="0"/>
          <w:color w:val="auto"/>
          <w:sz w:val="32"/>
          <w:szCs w:val="32"/>
          <w:highlight w:val="none"/>
          <w:lang w:val="en-US" w:eastAsia="zh-CN"/>
        </w:rPr>
        <w:t>（责任单位：区残联、区民政局、区卫生健康局、区退役军人事务局）</w:t>
      </w:r>
    </w:p>
    <w:p w14:paraId="19C36BEC">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default"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3.推进居家上门服务。</w:t>
      </w:r>
      <w:r>
        <w:rPr>
          <w:rFonts w:hint="eastAsia" w:ascii="仿宋_GB2312" w:hAnsi="仿宋_GB2312" w:eastAsia="仿宋_GB2312" w:cs="仿宋_GB2312"/>
          <w:strike w:val="0"/>
          <w:dstrike w:val="0"/>
          <w:color w:val="auto"/>
          <w:sz w:val="32"/>
          <w:szCs w:val="32"/>
          <w:highlight w:val="none"/>
          <w:lang w:val="en-US" w:eastAsia="zh-CN"/>
        </w:rPr>
        <w:t>建立完善居家医养服务规范，优化工作流程，积极开展居家上门和社区嵌入式服务，将医养资源延伸至家庭和社区。引导“两院一体”医养结合机构设置家庭病床、家庭养老床位，创新开展线上“点单式”服务，形成老年人认可、制度完善的居家医养服务模式。</w:t>
      </w:r>
      <w:r>
        <w:rPr>
          <w:rFonts w:hint="eastAsia" w:ascii="楷体_GB2312" w:hAnsi="楷体_GB2312" w:eastAsia="楷体_GB2312" w:cs="楷体_GB2312"/>
          <w:strike w:val="0"/>
          <w:dstrike w:val="0"/>
          <w:color w:val="auto"/>
          <w:sz w:val="32"/>
          <w:szCs w:val="32"/>
          <w:highlight w:val="none"/>
          <w:lang w:val="en-US" w:eastAsia="zh-CN"/>
        </w:rPr>
        <w:t>（责任单位：区卫生健康局，区民政局、区医保局）</w:t>
      </w:r>
    </w:p>
    <w:p w14:paraId="27770EE1">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4.培育中医药康养特色。</w:t>
      </w:r>
      <w:r>
        <w:rPr>
          <w:rFonts w:hint="eastAsia" w:ascii="仿宋_GB2312" w:hAnsi="仿宋_GB2312" w:eastAsia="仿宋_GB2312" w:cs="仿宋_GB2312"/>
          <w:strike w:val="0"/>
          <w:dstrike w:val="0"/>
          <w:color w:val="auto"/>
          <w:sz w:val="32"/>
          <w:szCs w:val="32"/>
          <w:highlight w:val="none"/>
          <w:lang w:val="en-US" w:eastAsia="zh-CN"/>
        </w:rPr>
        <w:t>将中医药服务融入医养全过程，每个医养机构至少配备1名中医医师，推广艾灸、拔罐等中医适宜技术特色服务。加快推进“两院一体”医养结合机构与二级及以上智慧共享中药房的信息共享，完善处方流转、调配煎煮与集中配送等关键环节的药事服务，全面提升中医药服务的可及性。</w:t>
      </w:r>
      <w:r>
        <w:rPr>
          <w:rFonts w:hint="eastAsia" w:ascii="楷体_GB2312" w:hAnsi="楷体_GB2312" w:eastAsia="楷体_GB2312" w:cs="楷体_GB2312"/>
          <w:strike w:val="0"/>
          <w:dstrike w:val="0"/>
          <w:color w:val="auto"/>
          <w:sz w:val="32"/>
          <w:szCs w:val="32"/>
          <w:highlight w:val="none"/>
          <w:lang w:val="en-US" w:eastAsia="zh-CN"/>
        </w:rPr>
        <w:t>（责任单位：区卫生健康局）</w:t>
      </w:r>
    </w:p>
    <w:p w14:paraId="0A8D4987">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（三）实施“智慧医养赋能”工程，提升服务效能</w:t>
      </w:r>
    </w:p>
    <w:p w14:paraId="33891D72">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1.整合智慧服务平台。</w:t>
      </w:r>
      <w:r>
        <w:rPr>
          <w:rFonts w:hint="eastAsia" w:ascii="仿宋_GB2312" w:hAnsi="仿宋_GB2312" w:eastAsia="仿宋_GB2312" w:cs="仿宋_GB2312"/>
          <w:strike w:val="0"/>
          <w:dstrike w:val="0"/>
          <w:color w:val="auto"/>
          <w:sz w:val="32"/>
          <w:szCs w:val="32"/>
          <w:highlight w:val="none"/>
          <w:lang w:val="en-US" w:eastAsia="zh-CN"/>
        </w:rPr>
        <w:t>优化镇（街道）卫生院（社区卫生服务中心）信息系统，推进医疗、养老服务数据共享，进一步提升信息化支撑能力。各“两院一体”医养结合机构接入市级“互联网＋医养”平台，为老年人提供智能贴心、高效可及的专业化医养服务体验。</w:t>
      </w:r>
      <w:r>
        <w:rPr>
          <w:rFonts w:hint="eastAsia" w:ascii="楷体_GB2312" w:hAnsi="楷体_GB2312" w:eastAsia="楷体_GB2312" w:cs="楷体_GB2312"/>
          <w:strike w:val="0"/>
          <w:dstrike w:val="0"/>
          <w:color w:val="auto"/>
          <w:sz w:val="32"/>
          <w:szCs w:val="32"/>
          <w:highlight w:val="none"/>
          <w:lang w:val="en-US" w:eastAsia="zh-CN"/>
        </w:rPr>
        <w:t>（责任单位：区民政局、区卫生健康局、区大数据中心）</w:t>
      </w:r>
    </w:p>
    <w:p w14:paraId="370ED0C9">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2.推广智能医疗应用。</w:t>
      </w:r>
      <w:r>
        <w:rPr>
          <w:rFonts w:hint="eastAsia" w:ascii="仿宋_GB2312" w:hAnsi="仿宋_GB2312" w:eastAsia="仿宋_GB2312" w:cs="仿宋_GB2312"/>
          <w:strike w:val="0"/>
          <w:dstrike w:val="0"/>
          <w:color w:val="auto"/>
          <w:sz w:val="32"/>
          <w:szCs w:val="32"/>
          <w:highlight w:val="none"/>
          <w:lang w:val="en-US" w:eastAsia="zh-CN"/>
        </w:rPr>
        <w:t>2028年底前实现“鲁医助手”智能辅助诊断、心电辅助诊断、影像诊断“三张网”全覆盖，提升基层诊疗准确性。在医养机构推广远程会诊系统，对接区级医院专家资源，为疑难病症患者提供远程诊疗服务。</w:t>
      </w:r>
      <w:r>
        <w:rPr>
          <w:rFonts w:hint="eastAsia" w:ascii="楷体_GB2312" w:hAnsi="楷体_GB2312" w:eastAsia="楷体_GB2312" w:cs="楷体_GB2312"/>
          <w:strike w:val="0"/>
          <w:dstrike w:val="0"/>
          <w:color w:val="auto"/>
          <w:sz w:val="32"/>
          <w:szCs w:val="32"/>
          <w:highlight w:val="none"/>
          <w:lang w:val="en-US" w:eastAsia="zh-CN"/>
        </w:rPr>
        <w:t>（责任单位：区卫生健康局、区大数据中心）</w:t>
      </w:r>
    </w:p>
    <w:p w14:paraId="6C7696D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（四）实施“长效监管护航”工程，守牢安全底线</w:t>
      </w:r>
    </w:p>
    <w:p w14:paraId="58A13F23">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1.建立联合监管机制。</w:t>
      </w:r>
      <w:r>
        <w:rPr>
          <w:rFonts w:hint="eastAsia" w:ascii="仿宋_GB2312" w:hAnsi="仿宋_GB2312" w:eastAsia="仿宋_GB2312" w:cs="仿宋_GB2312"/>
          <w:strike w:val="0"/>
          <w:dstrike w:val="0"/>
          <w:color w:val="auto"/>
          <w:sz w:val="32"/>
          <w:szCs w:val="32"/>
          <w:highlight w:val="none"/>
          <w:lang w:val="en-US" w:eastAsia="zh-CN"/>
        </w:rPr>
        <w:t>建立由卫健、民政牵头，财政、消防、市场监管等部门参与的联合监管机制，每半年开展一次“拉网式”检查，重点排查医疗质量、消防安全、食品安全等隐患。建立“问题清单－整改通知－复查销号”闭环管理机制，对整改不力的机构暂停运营资格。</w:t>
      </w:r>
      <w:r>
        <w:rPr>
          <w:rFonts w:hint="eastAsia" w:ascii="楷体_GB2312" w:hAnsi="楷体_GB2312" w:eastAsia="楷体_GB2312" w:cs="楷体_GB2312"/>
          <w:strike w:val="0"/>
          <w:dstrike w:val="0"/>
          <w:color w:val="auto"/>
          <w:sz w:val="32"/>
          <w:szCs w:val="32"/>
          <w:highlight w:val="none"/>
          <w:lang w:val="en-US" w:eastAsia="zh-CN"/>
        </w:rPr>
        <w:t>（责任单位：区民政局、区财政局、区住房和城乡建设局、区卫生健康局、区市场监管局、区消防救援局、各镇〈街道〉）</w:t>
      </w:r>
    </w:p>
    <w:p w14:paraId="5C0BBB51">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2.强化风险防控能力。</w:t>
      </w:r>
      <w:r>
        <w:rPr>
          <w:rFonts w:hint="eastAsia" w:ascii="仿宋_GB2312" w:hAnsi="仿宋_GB2312" w:eastAsia="仿宋_GB2312" w:cs="仿宋_GB2312"/>
          <w:strike w:val="0"/>
          <w:dstrike w:val="0"/>
          <w:color w:val="auto"/>
          <w:sz w:val="32"/>
          <w:szCs w:val="32"/>
          <w:highlight w:val="none"/>
          <w:lang w:val="en-US" w:eastAsia="zh-CN"/>
        </w:rPr>
        <w:t>推动医养机构全面投保医疗责任保险、养老机构综合责任保险，降低运营风险。每半年开展一次应急演练，重点演练火灾逃生、突发疾病救治等场景；建立老年人权益保护热线，及时处理虐老、欺老等投诉举报；压实“两院一体”医养结合机构安全主体责任，严密防范各类安全事故；加强对志愿服务活动的安全监管，明确志愿服务安全责任，为参与志愿服务的志愿者购买意外伤害保险，保障志愿服务过程安全。</w:t>
      </w:r>
      <w:r>
        <w:rPr>
          <w:rFonts w:hint="eastAsia" w:ascii="楷体_GB2312" w:hAnsi="楷体_GB2312" w:eastAsia="楷体_GB2312" w:cs="楷体_GB2312"/>
          <w:strike w:val="0"/>
          <w:dstrike w:val="0"/>
          <w:color w:val="auto"/>
          <w:sz w:val="32"/>
          <w:szCs w:val="32"/>
          <w:highlight w:val="none"/>
          <w:lang w:val="en-US" w:eastAsia="zh-CN"/>
        </w:rPr>
        <w:t>（责任单位：共青团枣庄市台儿庄区委、区总工会、区妇女联合会、区委社会工作部、区卫生健康局、区民政局、区消防救援局）</w:t>
      </w:r>
    </w:p>
    <w:p w14:paraId="2653D7E2">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3.引入公众监督力量。</w:t>
      </w:r>
      <w:r>
        <w:rPr>
          <w:rFonts w:hint="eastAsia" w:ascii="仿宋_GB2312" w:hAnsi="仿宋_GB2312" w:eastAsia="仿宋_GB2312" w:cs="仿宋_GB2312"/>
          <w:strike w:val="0"/>
          <w:dstrike w:val="0"/>
          <w:color w:val="auto"/>
          <w:sz w:val="32"/>
          <w:szCs w:val="32"/>
          <w:highlight w:val="none"/>
          <w:lang w:val="en-US" w:eastAsia="zh-CN"/>
        </w:rPr>
        <w:t>聘请人大代表、政协委员、群众代表担任医养服务监督员，定期开展明察暗访，反馈服务问题。在医养机构设立公示栏，公开服务项目、收费标准、投诉电话等信息，接受社会监督。</w:t>
      </w:r>
      <w:r>
        <w:rPr>
          <w:rFonts w:hint="eastAsia" w:ascii="楷体_GB2312" w:hAnsi="楷体_GB2312" w:eastAsia="楷体_GB2312" w:cs="楷体_GB2312"/>
          <w:strike w:val="0"/>
          <w:dstrike w:val="0"/>
          <w:color w:val="auto"/>
          <w:sz w:val="32"/>
          <w:szCs w:val="32"/>
          <w:highlight w:val="none"/>
          <w:lang w:val="en-US" w:eastAsia="zh-CN"/>
        </w:rPr>
        <w:t>（责任单位：区民政局、区卫生健康局、各镇〈街道〉）</w:t>
      </w:r>
    </w:p>
    <w:p w14:paraId="31001ED8">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三、保障措施</w:t>
      </w:r>
    </w:p>
    <w:p w14:paraId="325642F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（一）健全组织推进机制</w:t>
      </w:r>
    </w:p>
    <w:p w14:paraId="4F73C7A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成立由区政府主要负责同志任组长的台儿庄区“两院一体”医养结合推进工作专班，统筹推进各项工作。建立会商、通报机制，及时破解项目推进中的难点堵点问题。将“两院一体”融合发展纳入《台儿庄区国民经济和社会发展第十五个五年规划》及区卫生体系指挥部重点工作，优先列入政府惠民实事。</w:t>
      </w:r>
      <w:r>
        <w:rPr>
          <w:rFonts w:hint="eastAsia" w:ascii="楷体_GB2312" w:hAnsi="楷体_GB2312" w:eastAsia="楷体_GB2312" w:cs="楷体_GB2312"/>
          <w:strike w:val="0"/>
          <w:dstrike w:val="0"/>
          <w:color w:val="auto"/>
          <w:sz w:val="32"/>
          <w:szCs w:val="32"/>
          <w:highlight w:val="none"/>
          <w:lang w:val="en-US" w:eastAsia="zh-CN"/>
        </w:rPr>
        <w:t>（责任单位：工作专班各成员单位）</w:t>
      </w:r>
    </w:p>
    <w:p w14:paraId="012496E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（二）培育专业人才队伍。</w:t>
      </w:r>
      <w:r>
        <w:rPr>
          <w:rFonts w:hint="eastAsia" w:ascii="仿宋_GB2312" w:hAnsi="仿宋_GB2312" w:eastAsia="仿宋_GB2312" w:cs="仿宋_GB2312"/>
          <w:strike w:val="0"/>
          <w:dstrike w:val="0"/>
          <w:color w:val="auto"/>
          <w:sz w:val="32"/>
          <w:szCs w:val="32"/>
          <w:highlight w:val="none"/>
          <w:lang w:val="en-US" w:eastAsia="zh-CN"/>
        </w:rPr>
        <w:t>落实枣庄市“医养结合千人培训”计划，每年培训100人以上，强化岗前培训、技能提升培训，从业人员应取得相应资质后方能上岗。培训所需经费由市级财政予以专项保障，区财政做好经费对接拨付等工作。</w:t>
      </w:r>
      <w:r>
        <w:rPr>
          <w:rFonts w:hint="eastAsia" w:ascii="楷体_GB2312" w:hAnsi="楷体_GB2312" w:eastAsia="楷体_GB2312" w:cs="楷体_GB2312"/>
          <w:strike w:val="0"/>
          <w:dstrike w:val="0"/>
          <w:color w:val="auto"/>
          <w:sz w:val="32"/>
          <w:szCs w:val="32"/>
          <w:highlight w:val="none"/>
          <w:lang w:val="en-US" w:eastAsia="zh-CN"/>
        </w:rPr>
        <w:t>（责任单位：区教育和体育局、区民政局、区财政局、区人力资源和社会保障局、区卫生健康局）</w:t>
      </w:r>
    </w:p>
    <w:p w14:paraId="0167728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（三）优化职称执业激励。</w:t>
      </w:r>
      <w:r>
        <w:rPr>
          <w:rFonts w:hint="eastAsia" w:ascii="仿宋_GB2312" w:hAnsi="仿宋_GB2312" w:eastAsia="仿宋_GB2312" w:cs="仿宋_GB2312"/>
          <w:strike w:val="0"/>
          <w:dstrike w:val="0"/>
          <w:color w:val="auto"/>
          <w:sz w:val="32"/>
          <w:szCs w:val="32"/>
          <w:highlight w:val="none"/>
          <w:lang w:val="en-US" w:eastAsia="zh-CN"/>
        </w:rPr>
        <w:t>结合年度高级评审要求，实行医养结合机构护理人员职称单独推荐参评，突出实操能力评价，放宽论文、科研等限制，推荐符合条件的卫生技术人员可申报基层卫生高级职称。经人力资源社会保障部门备案后的二级以上医院医师到“两院一体”医养结合机构多点执业的服务时长计入继续教育学时，并给予学分认定。鼓励退休医护人员返聘从事医养结合工作，并按规定给予一定的经济报酬。</w:t>
      </w:r>
      <w:r>
        <w:rPr>
          <w:rFonts w:hint="eastAsia" w:ascii="楷体_GB2312" w:hAnsi="楷体_GB2312" w:eastAsia="楷体_GB2312" w:cs="楷体_GB2312"/>
          <w:strike w:val="0"/>
          <w:dstrike w:val="0"/>
          <w:color w:val="auto"/>
          <w:sz w:val="32"/>
          <w:szCs w:val="32"/>
          <w:highlight w:val="none"/>
          <w:lang w:val="en-US" w:eastAsia="zh-CN"/>
        </w:rPr>
        <w:t>（责任单位：区人力资源和社会保障局、区卫生健康局）</w:t>
      </w:r>
    </w:p>
    <w:p w14:paraId="192AC367">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（四）加大资金投入力度。</w:t>
      </w:r>
      <w:r>
        <w:rPr>
          <w:rFonts w:hint="eastAsia" w:ascii="仿宋_GB2312" w:hAnsi="仿宋_GB2312" w:eastAsia="仿宋_GB2312" w:cs="仿宋_GB2312"/>
          <w:strike w:val="0"/>
          <w:dstrike w:val="0"/>
          <w:color w:val="auto"/>
          <w:sz w:val="32"/>
          <w:szCs w:val="32"/>
          <w:highlight w:val="none"/>
          <w:lang w:val="en-US" w:eastAsia="zh-CN"/>
        </w:rPr>
        <w:t>设立不低于1000万元的“两院一体”专项资金，用于项目建设、设备购置、人才培训等。落实养老护理员技能等级奖补政策，对在医养结合机构中从事养老护理工作2年及以上，取得三级/高级工、二级/技师、一级/高级技师职业技能等级证书的养老护理员、健康照护师（长期照护师），分别按照3000元、4000元、5000元的指导标准给予一次性技能等级奖补，奖补资金由财政统筹安排，从养老服务专项资金列支，事业单位在编人员不在奖补范围内。积极争取上级医养结合专项补助资金。</w:t>
      </w:r>
      <w:r>
        <w:rPr>
          <w:rFonts w:hint="eastAsia" w:ascii="楷体_GB2312" w:hAnsi="楷体_GB2312" w:eastAsia="楷体_GB2312" w:cs="楷体_GB2312"/>
          <w:strike w:val="0"/>
          <w:dstrike w:val="0"/>
          <w:color w:val="auto"/>
          <w:sz w:val="32"/>
          <w:szCs w:val="32"/>
          <w:highlight w:val="none"/>
          <w:lang w:val="en-US" w:eastAsia="zh-CN"/>
        </w:rPr>
        <w:t>（责任单位：区发展和改革局、区民政局、区财政局、区人力资源和社会保障局、区卫生健康局、区医保局）</w:t>
      </w:r>
    </w:p>
    <w:p w14:paraId="09F325A3">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（五）强化特殊群体保障。</w:t>
      </w:r>
      <w:r>
        <w:rPr>
          <w:rFonts w:hint="eastAsia" w:ascii="仿宋_GB2312" w:hAnsi="仿宋_GB2312" w:eastAsia="仿宋_GB2312" w:cs="仿宋_GB2312"/>
          <w:strike w:val="0"/>
          <w:dstrike w:val="0"/>
          <w:color w:val="auto"/>
          <w:sz w:val="32"/>
          <w:szCs w:val="32"/>
          <w:highlight w:val="none"/>
          <w:lang w:val="en-US" w:eastAsia="zh-CN"/>
        </w:rPr>
        <w:t>民政、残联等部门救助保障的集中供养、失能特困人员等特殊人群，优先入住“两院一体”医养结合机构。对入住普惠性养老机构的老年人按照机构星级、失能程度给予差异化补助。</w:t>
      </w:r>
      <w:r>
        <w:rPr>
          <w:rFonts w:hint="eastAsia" w:ascii="楷体_GB2312" w:hAnsi="楷体_GB2312" w:eastAsia="楷体_GB2312" w:cs="楷体_GB2312"/>
          <w:strike w:val="0"/>
          <w:dstrike w:val="0"/>
          <w:color w:val="auto"/>
          <w:sz w:val="32"/>
          <w:szCs w:val="32"/>
          <w:highlight w:val="none"/>
          <w:lang w:val="en-US" w:eastAsia="zh-CN"/>
        </w:rPr>
        <w:t>（责任单位：区民政局、区财政局、区残联、区卫生健康局）</w:t>
      </w:r>
    </w:p>
    <w:p w14:paraId="5DE1043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（六）落实医保保障政策。</w:t>
      </w:r>
      <w:r>
        <w:rPr>
          <w:rFonts w:hint="eastAsia" w:ascii="仿宋_GB2312" w:hAnsi="仿宋_GB2312" w:eastAsia="仿宋_GB2312" w:cs="仿宋_GB2312"/>
          <w:strike w:val="0"/>
          <w:dstrike w:val="0"/>
          <w:color w:val="auto"/>
          <w:sz w:val="32"/>
          <w:szCs w:val="32"/>
          <w:highlight w:val="none"/>
          <w:lang w:val="en-US" w:eastAsia="zh-CN"/>
        </w:rPr>
        <w:t>落实枣庄市长期护理保险政策，将符合条件的“两院一体”医养结合机构纳入长期护理保险定点机构，为失能失智老年人提供长期护理保障。</w:t>
      </w:r>
      <w:r>
        <w:rPr>
          <w:rFonts w:hint="eastAsia" w:ascii="楷体_GB2312" w:hAnsi="楷体_GB2312" w:eastAsia="楷体_GB2312" w:cs="楷体_GB2312"/>
          <w:strike w:val="0"/>
          <w:dstrike w:val="0"/>
          <w:color w:val="auto"/>
          <w:sz w:val="32"/>
          <w:szCs w:val="32"/>
          <w:highlight w:val="none"/>
          <w:lang w:val="en-US" w:eastAsia="zh-CN"/>
        </w:rPr>
        <w:t>（责任单位：区民政局、区卫生健康局、区医保局）</w:t>
      </w:r>
    </w:p>
    <w:p w14:paraId="2F81AAD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（七）畅通审批备案渠道。</w:t>
      </w:r>
      <w:r>
        <w:rPr>
          <w:rFonts w:hint="eastAsia" w:ascii="仿宋_GB2312" w:hAnsi="仿宋_GB2312" w:eastAsia="仿宋_GB2312" w:cs="仿宋_GB2312"/>
          <w:strike w:val="0"/>
          <w:dstrike w:val="0"/>
          <w:color w:val="auto"/>
          <w:sz w:val="32"/>
          <w:szCs w:val="32"/>
          <w:highlight w:val="none"/>
          <w:lang w:val="en-US" w:eastAsia="zh-CN"/>
        </w:rPr>
        <w:t>公立医疗机构申请设立养老机构的，须向同级民政部门申请养老机构备案，向同级机构编制部门提出职责调整和变更登记申请，在事业单位主要职责及法人证书增加“机构养老服务”职能。</w:t>
      </w:r>
      <w:r>
        <w:rPr>
          <w:rFonts w:hint="eastAsia" w:ascii="楷体_GB2312" w:hAnsi="楷体_GB2312" w:eastAsia="楷体_GB2312" w:cs="楷体_GB2312"/>
          <w:strike w:val="0"/>
          <w:dstrike w:val="0"/>
          <w:color w:val="auto"/>
          <w:sz w:val="32"/>
          <w:szCs w:val="32"/>
          <w:highlight w:val="none"/>
          <w:lang w:val="en-US" w:eastAsia="zh-CN"/>
        </w:rPr>
        <w:t>（责任单位：区委编办、区民政局、区卫生健康局）</w:t>
      </w:r>
    </w:p>
    <w:p w14:paraId="38C794E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（八）强化用地保障措施。</w:t>
      </w:r>
      <w:r>
        <w:rPr>
          <w:rFonts w:hint="eastAsia" w:ascii="仿宋_GB2312" w:hAnsi="仿宋_GB2312" w:eastAsia="仿宋_GB2312" w:cs="仿宋_GB2312"/>
          <w:strike w:val="0"/>
          <w:dstrike w:val="0"/>
          <w:color w:val="auto"/>
          <w:sz w:val="32"/>
          <w:szCs w:val="32"/>
          <w:highlight w:val="none"/>
          <w:lang w:val="en-US" w:eastAsia="zh-CN"/>
        </w:rPr>
        <w:t>将医养结合项目用地纳入国土空间规划，优先保障建设用地指标。对利用闲置公益设施改造医养项目的，采取划拨方式供地；对社会资本投资建设医养机构的，采用出让、租赁等方式供地，降低用地成本。</w:t>
      </w:r>
      <w:r>
        <w:rPr>
          <w:rFonts w:hint="eastAsia" w:ascii="楷体_GB2312" w:hAnsi="楷体_GB2312" w:eastAsia="楷体_GB2312" w:cs="楷体_GB2312"/>
          <w:strike w:val="0"/>
          <w:dstrike w:val="0"/>
          <w:color w:val="auto"/>
          <w:sz w:val="32"/>
          <w:szCs w:val="32"/>
          <w:highlight w:val="none"/>
          <w:lang w:val="en-US" w:eastAsia="zh-CN"/>
        </w:rPr>
        <w:t>（责任单位：区民政局、区自然资源局、区住房和城乡建设局、区卫生健康局、各镇〈街道〉）</w:t>
      </w:r>
    </w:p>
    <w:p w14:paraId="1A1F97B8">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（九）落实费用优惠支持政策。</w:t>
      </w:r>
      <w:r>
        <w:rPr>
          <w:rFonts w:hint="eastAsia" w:ascii="仿宋_GB2312" w:hAnsi="仿宋_GB2312" w:eastAsia="仿宋_GB2312" w:cs="仿宋_GB2312"/>
          <w:strike w:val="0"/>
          <w:dstrike w:val="0"/>
          <w:color w:val="auto"/>
          <w:sz w:val="32"/>
          <w:szCs w:val="32"/>
          <w:highlight w:val="none"/>
          <w:lang w:val="en-US" w:eastAsia="zh-CN"/>
        </w:rPr>
        <w:t>养老服务组织用水、用电、用气、用热，按照居民生活类价格标准收费；安装、使用和维护固定电话、有线（数字）电视、宽带互联网，按照国家和省、市、区有关规定减免收费。</w:t>
      </w:r>
      <w:r>
        <w:rPr>
          <w:rFonts w:hint="eastAsia" w:ascii="楷体_GB2312" w:hAnsi="楷体_GB2312" w:eastAsia="楷体_GB2312" w:cs="楷体_GB2312"/>
          <w:strike w:val="0"/>
          <w:dstrike w:val="0"/>
          <w:color w:val="auto"/>
          <w:sz w:val="32"/>
          <w:szCs w:val="32"/>
          <w:highlight w:val="none"/>
          <w:lang w:val="en-US" w:eastAsia="zh-CN"/>
        </w:rPr>
        <w:t>（责任单位：区发展和改革局、区住房和城乡建设局、区城乡水务局、区供电中心、区联通公司、区移动公司、区电信公司）</w:t>
      </w:r>
    </w:p>
    <w:p w14:paraId="5DF58E4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楷体_GB2312" w:hAnsi="楷体_GB2312" w:eastAsia="楷体_GB2312" w:cs="楷体_GB2312"/>
          <w:strike w:val="0"/>
          <w:dstrike w:val="0"/>
          <w:color w:val="auto"/>
          <w:sz w:val="32"/>
          <w:szCs w:val="32"/>
          <w:highlight w:val="none"/>
          <w:lang w:val="en-US" w:eastAsia="zh-CN"/>
        </w:rPr>
      </w:pPr>
      <w:r>
        <w:rPr>
          <w:rFonts w:hint="eastAsia" w:ascii="楷体_GB2312" w:hAnsi="楷体_GB2312" w:eastAsia="楷体_GB2312" w:cs="楷体_GB2312"/>
          <w:strike w:val="0"/>
          <w:dstrike w:val="0"/>
          <w:color w:val="auto"/>
          <w:sz w:val="32"/>
          <w:szCs w:val="32"/>
          <w:highlight w:val="none"/>
          <w:lang w:val="en-US" w:eastAsia="zh-CN"/>
        </w:rPr>
        <w:t>（十）强化督导考核问责。</w:t>
      </w:r>
      <w:r>
        <w:rPr>
          <w:rFonts w:hint="eastAsia" w:ascii="仿宋_GB2312" w:hAnsi="仿宋_GB2312" w:eastAsia="仿宋_GB2312" w:cs="仿宋_GB2312"/>
          <w:strike w:val="0"/>
          <w:dstrike w:val="0"/>
          <w:color w:val="auto"/>
          <w:sz w:val="32"/>
          <w:szCs w:val="32"/>
          <w:highlight w:val="none"/>
          <w:lang w:val="en-US" w:eastAsia="zh-CN"/>
        </w:rPr>
        <w:t>制定具体考评细则，重点考核服务质量（满意度≥95%）、运营效能（2028年床位使用率≥75%）、安全管理等指标。对工作推进有力、成效显著的单位和个人予以表扬，对不作为、慢作为的严肃问责。</w:t>
      </w:r>
      <w:r>
        <w:rPr>
          <w:rFonts w:hint="eastAsia" w:ascii="楷体_GB2312" w:hAnsi="楷体_GB2312" w:eastAsia="楷体_GB2312" w:cs="楷体_GB2312"/>
          <w:strike w:val="0"/>
          <w:dstrike w:val="0"/>
          <w:color w:val="auto"/>
          <w:sz w:val="32"/>
          <w:szCs w:val="32"/>
          <w:highlight w:val="none"/>
          <w:lang w:val="en-US" w:eastAsia="zh-CN"/>
        </w:rPr>
        <w:t>（责任单位：区民政局、区卫生健康局）</w:t>
      </w:r>
    </w:p>
    <w:p w14:paraId="3E19CEB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p>
    <w:p w14:paraId="787C955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auto"/>
        <w:rPr>
          <w:rFonts w:hint="default"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附件：1.台儿庄区“两院一体”医养结合推进工作专班</w:t>
      </w:r>
    </w:p>
    <w:p w14:paraId="152B448B">
      <w:pPr>
        <w:keepNext w:val="0"/>
        <w:keepLines w:val="0"/>
        <w:pageBreakBefore w:val="0"/>
        <w:widowControl w:val="0"/>
        <w:kinsoku/>
        <w:wordWrap/>
        <w:overflowPunct/>
        <w:topLinePunct/>
        <w:autoSpaceDE w:val="0"/>
        <w:autoSpaceDN w:val="0"/>
        <w:bidi w:val="0"/>
        <w:adjustRightInd/>
        <w:snapToGrid/>
        <w:spacing w:line="560" w:lineRule="exact"/>
        <w:ind w:right="0" w:firstLine="1600" w:firstLineChars="5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2.枣庄市“两院一体”医养结合机构建设标准</w:t>
      </w:r>
    </w:p>
    <w:p w14:paraId="4A10D25C">
      <w:pPr>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br w:type="page"/>
      </w:r>
    </w:p>
    <w:p w14:paraId="0E1A29AB">
      <w:pPr>
        <w:keepNext w:val="0"/>
        <w:keepLines w:val="0"/>
        <w:pageBreakBefore w:val="0"/>
        <w:kinsoku/>
        <w:wordWrap w:val="0"/>
        <w:topLinePunct w:val="0"/>
        <w:autoSpaceDE w:val="0"/>
        <w:autoSpaceDN w:val="0"/>
        <w:bidi w:val="0"/>
        <w:spacing w:line="560" w:lineRule="exact"/>
        <w:ind w:left="0" w:leftChars="0"/>
        <w:textAlignment w:val="auto"/>
        <w:rPr>
          <w:rFonts w:hint="eastAsia" w:ascii="黑体" w:hAnsi="黑体" w:eastAsia="黑体" w:cs="黑体"/>
          <w:b w:val="0"/>
          <w:bCs w:val="0"/>
          <w:strike w:val="0"/>
          <w:dstrike w:val="0"/>
          <w:color w:val="auto"/>
          <w:spacing w:val="0"/>
          <w:sz w:val="32"/>
          <w:szCs w:val="32"/>
          <w:highlight w:val="none"/>
          <w:lang w:val="en-US" w:eastAsia="zh-CN"/>
        </w:rPr>
      </w:pPr>
      <w:r>
        <w:rPr>
          <w:rFonts w:hint="eastAsia" w:ascii="黑体" w:hAnsi="黑体" w:eastAsia="黑体" w:cs="黑体"/>
          <w:b w:val="0"/>
          <w:bCs w:val="0"/>
          <w:strike w:val="0"/>
          <w:dstrike w:val="0"/>
          <w:color w:val="auto"/>
          <w:spacing w:val="0"/>
          <w:sz w:val="32"/>
          <w:szCs w:val="32"/>
          <w:highlight w:val="none"/>
          <w:lang w:val="en-US" w:eastAsia="zh-CN"/>
        </w:rPr>
        <w:t>附件1：</w:t>
      </w:r>
    </w:p>
    <w:p w14:paraId="011E929F">
      <w:pPr>
        <w:keepNext w:val="0"/>
        <w:keepLines w:val="0"/>
        <w:pageBreakBefore w:val="0"/>
        <w:kinsoku/>
        <w:wordWrap w:val="0"/>
        <w:topLinePunct w:val="0"/>
        <w:autoSpaceDE w:val="0"/>
        <w:autoSpaceDN w:val="0"/>
        <w:bidi w:val="0"/>
        <w:spacing w:line="560" w:lineRule="exact"/>
        <w:ind w:left="0" w:leftChars="0"/>
        <w:textAlignment w:val="auto"/>
        <w:rPr>
          <w:rFonts w:hint="eastAsia" w:ascii="仿宋_GB2312" w:hAnsi="仿宋_GB2312" w:eastAsia="仿宋_GB2312" w:cs="仿宋_GB2312"/>
          <w:b/>
          <w:bCs/>
          <w:strike w:val="0"/>
          <w:dstrike w:val="0"/>
          <w:color w:val="auto"/>
          <w:spacing w:val="0"/>
          <w:sz w:val="32"/>
          <w:szCs w:val="32"/>
          <w:highlight w:val="none"/>
          <w:lang w:val="en-US" w:eastAsia="zh-CN"/>
        </w:rPr>
      </w:pPr>
    </w:p>
    <w:p w14:paraId="23371838">
      <w:pPr>
        <w:keepNext w:val="0"/>
        <w:keepLines w:val="0"/>
        <w:pageBreakBefore w:val="0"/>
        <w:kinsoku/>
        <w:wordWrap w:val="0"/>
        <w:topLinePunct w:val="0"/>
        <w:autoSpaceDE w:val="0"/>
        <w:autoSpaceDN w:val="0"/>
        <w:bidi w:val="0"/>
        <w:spacing w:line="560" w:lineRule="exact"/>
        <w:ind w:left="0" w:leftChars="0"/>
        <w:jc w:val="center"/>
        <w:textAlignment w:val="auto"/>
        <w:rPr>
          <w:rFonts w:hint="eastAsia" w:ascii="方正小标宋简体" w:hAnsi="方正小标宋简体" w:eastAsia="方正小标宋简体" w:cs="方正小标宋简体"/>
          <w:b w:val="0"/>
          <w:bCs w:val="0"/>
          <w:strike w:val="0"/>
          <w:dstrike w:val="0"/>
          <w:color w:val="auto"/>
          <w:spacing w:val="0"/>
          <w:sz w:val="44"/>
          <w:szCs w:val="44"/>
          <w:highlight w:val="none"/>
        </w:rPr>
      </w:pPr>
      <w:r>
        <w:rPr>
          <w:rFonts w:hint="eastAsia" w:ascii="方正小标宋简体" w:hAnsi="方正小标宋简体" w:eastAsia="方正小标宋简体" w:cs="方正小标宋简体"/>
          <w:b w:val="0"/>
          <w:bCs w:val="0"/>
          <w:strike w:val="0"/>
          <w:dstrike w:val="0"/>
          <w:color w:val="auto"/>
          <w:spacing w:val="0"/>
          <w:sz w:val="44"/>
          <w:szCs w:val="44"/>
          <w:highlight w:val="none"/>
          <w:lang w:val="en-US" w:eastAsia="zh-CN"/>
        </w:rPr>
        <w:t>台儿庄区</w:t>
      </w:r>
      <w:r>
        <w:rPr>
          <w:rFonts w:hint="eastAsia" w:ascii="方正小标宋简体" w:hAnsi="方正小标宋简体" w:eastAsia="方正小标宋简体" w:cs="方正小标宋简体"/>
          <w:b w:val="0"/>
          <w:bCs w:val="0"/>
          <w:strike w:val="0"/>
          <w:dstrike w:val="0"/>
          <w:color w:val="auto"/>
          <w:spacing w:val="0"/>
          <w:sz w:val="44"/>
          <w:szCs w:val="44"/>
          <w:highlight w:val="none"/>
        </w:rPr>
        <w:t>“两院一体”</w:t>
      </w:r>
      <w:r>
        <w:rPr>
          <w:rFonts w:hint="eastAsia" w:ascii="方正小标宋简体" w:hAnsi="方正小标宋简体" w:eastAsia="方正小标宋简体" w:cs="方正小标宋简体"/>
          <w:b w:val="0"/>
          <w:bCs w:val="0"/>
          <w:strike w:val="0"/>
          <w:dstrike w:val="0"/>
          <w:color w:val="auto"/>
          <w:spacing w:val="0"/>
          <w:sz w:val="44"/>
          <w:szCs w:val="44"/>
          <w:highlight w:val="none"/>
          <w:lang w:val="en-US" w:eastAsia="zh-CN"/>
        </w:rPr>
        <w:t>医养结合</w:t>
      </w:r>
      <w:r>
        <w:rPr>
          <w:rFonts w:hint="eastAsia" w:ascii="方正小标宋简体" w:hAnsi="方正小标宋简体" w:eastAsia="方正小标宋简体" w:cs="方正小标宋简体"/>
          <w:b w:val="0"/>
          <w:bCs w:val="0"/>
          <w:strike w:val="0"/>
          <w:dstrike w:val="0"/>
          <w:color w:val="auto"/>
          <w:spacing w:val="0"/>
          <w:sz w:val="44"/>
          <w:szCs w:val="44"/>
          <w:highlight w:val="none"/>
        </w:rPr>
        <w:t>推进工作专班</w:t>
      </w:r>
    </w:p>
    <w:p w14:paraId="14D569A0">
      <w:pPr>
        <w:rPr>
          <w:rFonts w:hint="eastAsia" w:ascii="仿宋_GB2312" w:hAnsi="仿宋_GB2312" w:eastAsia="仿宋_GB2312" w:cs="仿宋_GB2312"/>
          <w:strike w:val="0"/>
          <w:dstrike w:val="0"/>
          <w:color w:val="auto"/>
          <w:sz w:val="32"/>
          <w:szCs w:val="32"/>
          <w:highlight w:val="none"/>
          <w:lang w:val="en-US" w:eastAsia="zh-CN"/>
        </w:rPr>
      </w:pPr>
    </w:p>
    <w:p w14:paraId="5B90293F">
      <w:pPr>
        <w:keepNext w:val="0"/>
        <w:keepLines w:val="0"/>
        <w:pageBreakBefore w:val="0"/>
        <w:widowControl w:val="0"/>
        <w:kinsoku/>
        <w:wordWrap w:val="0"/>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黑体" w:hAnsi="黑体" w:eastAsia="黑体" w:cs="黑体"/>
          <w:b w:val="0"/>
          <w:bCs w:val="0"/>
          <w:strike w:val="0"/>
          <w:dstrike w:val="0"/>
          <w:color w:val="auto"/>
          <w:spacing w:val="0"/>
          <w:sz w:val="32"/>
          <w:szCs w:val="32"/>
          <w:highlight w:val="none"/>
          <w:lang w:val="en-US" w:eastAsia="zh-CN"/>
        </w:rPr>
        <w:t>组  长：</w:t>
      </w:r>
      <w:r>
        <w:rPr>
          <w:rFonts w:hint="eastAsia" w:ascii="Times New Roman" w:hAnsi="Times New Roman" w:eastAsia="仿宋_GB2312" w:cs="Times New Roman"/>
          <w:b w:val="0"/>
          <w:bCs w:val="0"/>
          <w:strike w:val="0"/>
          <w:dstrike w:val="0"/>
          <w:color w:val="auto"/>
          <w:spacing w:val="0"/>
          <w:sz w:val="32"/>
          <w:szCs w:val="32"/>
          <w:highlight w:val="none"/>
          <w:lang w:val="en-US" w:eastAsia="zh-CN"/>
        </w:rPr>
        <w:t>李  军  区委副书记、区长</w:t>
      </w:r>
    </w:p>
    <w:p w14:paraId="4C0E35BC">
      <w:pPr>
        <w:keepNext w:val="0"/>
        <w:keepLines w:val="0"/>
        <w:pageBreakBefore w:val="0"/>
        <w:widowControl w:val="0"/>
        <w:kinsoku/>
        <w:wordWrap w:val="0"/>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黑体" w:hAnsi="黑体" w:eastAsia="黑体" w:cs="黑体"/>
          <w:b w:val="0"/>
          <w:bCs w:val="0"/>
          <w:strike w:val="0"/>
          <w:dstrike w:val="0"/>
          <w:color w:val="auto"/>
          <w:spacing w:val="0"/>
          <w:sz w:val="32"/>
          <w:szCs w:val="32"/>
          <w:highlight w:val="none"/>
          <w:lang w:val="en-US" w:eastAsia="zh-CN"/>
        </w:rPr>
        <w:t>副组长</w:t>
      </w:r>
      <w:r>
        <w:rPr>
          <w:rFonts w:hint="eastAsia" w:ascii="Times New Roman" w:hAnsi="Times New Roman" w:eastAsia="仿宋_GB2312" w:cs="Times New Roman"/>
          <w:b w:val="0"/>
          <w:bCs w:val="0"/>
          <w:strike w:val="0"/>
          <w:dstrike w:val="0"/>
          <w:color w:val="auto"/>
          <w:spacing w:val="0"/>
          <w:sz w:val="32"/>
          <w:szCs w:val="32"/>
          <w:highlight w:val="none"/>
          <w:lang w:val="en-US" w:eastAsia="zh-CN"/>
        </w:rPr>
        <w:t>：付晓娟  区政府党组成员、副区长</w:t>
      </w:r>
    </w:p>
    <w:p w14:paraId="699CA5FE">
      <w:pPr>
        <w:keepNext w:val="0"/>
        <w:keepLines w:val="0"/>
        <w:pageBreakBefore w:val="0"/>
        <w:widowControl w:val="0"/>
        <w:kinsoku/>
        <w:wordWrap w:val="0"/>
        <w:overflowPunct/>
        <w:topLinePunct w:val="0"/>
        <w:autoSpaceDE w:val="0"/>
        <w:autoSpaceDN w:val="0"/>
        <w:bidi w:val="0"/>
        <w:adjustRightInd/>
        <w:snapToGrid/>
        <w:spacing w:line="560" w:lineRule="exact"/>
        <w:ind w:left="3198" w:leftChars="304" w:hanging="2560" w:hangingChars="8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黑体" w:hAnsi="黑体" w:eastAsia="黑体" w:cs="黑体"/>
          <w:b w:val="0"/>
          <w:bCs w:val="0"/>
          <w:strike w:val="0"/>
          <w:dstrike w:val="0"/>
          <w:color w:val="auto"/>
          <w:spacing w:val="0"/>
          <w:sz w:val="32"/>
          <w:szCs w:val="32"/>
          <w:highlight w:val="none"/>
          <w:lang w:val="en-US" w:eastAsia="zh-CN"/>
        </w:rPr>
        <w:t>成  员：</w:t>
      </w:r>
      <w:r>
        <w:rPr>
          <w:rFonts w:hint="eastAsia" w:ascii="Times New Roman" w:hAnsi="Times New Roman" w:eastAsia="仿宋_GB2312" w:cs="Times New Roman"/>
          <w:b w:val="0"/>
          <w:bCs w:val="0"/>
          <w:strike w:val="0"/>
          <w:dstrike w:val="0"/>
          <w:color w:val="auto"/>
          <w:spacing w:val="0"/>
          <w:sz w:val="32"/>
          <w:szCs w:val="32"/>
          <w:highlight w:val="none"/>
          <w:lang w:val="en-US" w:eastAsia="zh-CN"/>
        </w:rPr>
        <w:t>陈学超  枣庄交通旅游学校党委书记、区市场监督管理局党组书记、局长</w:t>
      </w:r>
    </w:p>
    <w:p w14:paraId="23275465">
      <w:pPr>
        <w:keepNext w:val="0"/>
        <w:keepLines w:val="0"/>
        <w:pageBreakBefore w:val="0"/>
        <w:widowControl w:val="0"/>
        <w:kinsoku/>
        <w:wordWrap w:val="0"/>
        <w:overflowPunct/>
        <w:topLinePunct w:val="0"/>
        <w:autoSpaceDE w:val="0"/>
        <w:autoSpaceDN w:val="0"/>
        <w:bidi w:val="0"/>
        <w:adjustRightInd/>
        <w:snapToGrid/>
        <w:spacing w:line="560" w:lineRule="exact"/>
        <w:ind w:left="0" w:leftChars="0"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谢宝东  区政府办公室党组书记、主任</w:t>
      </w:r>
    </w:p>
    <w:p w14:paraId="5185E2DC">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徐  辉  区委编办主任、组织部副部长</w:t>
      </w:r>
    </w:p>
    <w:p w14:paraId="6C4F8A17">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w w:val="95"/>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 xml:space="preserve">赵  伟  </w:t>
      </w:r>
      <w:r>
        <w:rPr>
          <w:rFonts w:hint="eastAsia" w:ascii="Times New Roman" w:hAnsi="Times New Roman" w:eastAsia="仿宋_GB2312" w:cs="Times New Roman"/>
          <w:b w:val="0"/>
          <w:bCs w:val="0"/>
          <w:strike w:val="0"/>
          <w:dstrike w:val="0"/>
          <w:color w:val="auto"/>
          <w:spacing w:val="0"/>
          <w:w w:val="95"/>
          <w:sz w:val="32"/>
          <w:szCs w:val="32"/>
          <w:highlight w:val="none"/>
          <w:lang w:val="en-US" w:eastAsia="zh-CN"/>
        </w:rPr>
        <w:t>区委社会工作部部长、“两新”工委书记</w:t>
      </w:r>
    </w:p>
    <w:p w14:paraId="473859E2">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黄  浩  区总工会常务副主席</w:t>
      </w:r>
    </w:p>
    <w:p w14:paraId="548EC7EC">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刘建翔  共青团枣庄市台儿庄区委书记</w:t>
      </w:r>
    </w:p>
    <w:p w14:paraId="0E469677">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李  为  区妇女联合会主席</w:t>
      </w:r>
    </w:p>
    <w:p w14:paraId="62645C2E">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w w:val="95"/>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 xml:space="preserve">于长江  </w:t>
      </w:r>
      <w:r>
        <w:rPr>
          <w:rFonts w:hint="eastAsia" w:ascii="Times New Roman" w:hAnsi="Times New Roman" w:eastAsia="仿宋_GB2312" w:cs="Times New Roman"/>
          <w:b w:val="0"/>
          <w:bCs w:val="0"/>
          <w:strike w:val="0"/>
          <w:dstrike w:val="0"/>
          <w:color w:val="auto"/>
          <w:spacing w:val="0"/>
          <w:w w:val="95"/>
          <w:sz w:val="32"/>
          <w:szCs w:val="32"/>
          <w:highlight w:val="none"/>
          <w:lang w:val="en-US" w:eastAsia="zh-CN"/>
        </w:rPr>
        <w:t>区残联党组书记、理事长</w:t>
      </w:r>
    </w:p>
    <w:p w14:paraId="2C379FFF">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关继元  区发展和改革局党组书记、局长</w:t>
      </w:r>
    </w:p>
    <w:p w14:paraId="198D3DBA">
      <w:pPr>
        <w:keepNext w:val="0"/>
        <w:keepLines w:val="0"/>
        <w:pageBreakBefore w:val="0"/>
        <w:widowControl w:val="0"/>
        <w:kinsoku/>
        <w:wordWrap w:val="0"/>
        <w:overflowPunct/>
        <w:topLinePunct w:val="0"/>
        <w:autoSpaceDE w:val="0"/>
        <w:autoSpaceDN w:val="0"/>
        <w:bidi w:val="0"/>
        <w:adjustRightInd/>
        <w:snapToGrid/>
        <w:spacing w:line="560" w:lineRule="exact"/>
        <w:ind w:left="0" w:leftChars="0"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 xml:space="preserve">赵庆军  </w:t>
      </w:r>
      <w:r>
        <w:rPr>
          <w:rFonts w:hint="eastAsia" w:ascii="Times New Roman" w:hAnsi="Times New Roman" w:eastAsia="仿宋_GB2312" w:cs="Times New Roman"/>
          <w:b w:val="0"/>
          <w:bCs w:val="0"/>
          <w:strike w:val="0"/>
          <w:dstrike w:val="0"/>
          <w:color w:val="auto"/>
          <w:spacing w:val="0"/>
          <w:w w:val="65"/>
          <w:sz w:val="32"/>
          <w:szCs w:val="32"/>
          <w:highlight w:val="none"/>
          <w:lang w:val="en-US" w:eastAsia="zh-CN"/>
        </w:rPr>
        <w:t>区委教育工委常务副书记、区教育和体育局党组书记、局长</w:t>
      </w:r>
    </w:p>
    <w:p w14:paraId="13F19D0B">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许  华  区民政局党组书记、局长</w:t>
      </w:r>
    </w:p>
    <w:p w14:paraId="78A9AC9E">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23"/>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彭  鹏  区</w:t>
      </w:r>
      <w:r>
        <w:rPr>
          <w:rFonts w:hint="eastAsia" w:ascii="Times New Roman" w:hAnsi="Times New Roman" w:eastAsia="仿宋_GB2312" w:cs="Times New Roman"/>
          <w:b w:val="0"/>
          <w:bCs w:val="0"/>
          <w:strike w:val="0"/>
          <w:dstrike w:val="0"/>
          <w:color w:val="auto"/>
          <w:spacing w:val="-23"/>
          <w:sz w:val="32"/>
          <w:szCs w:val="32"/>
          <w:highlight w:val="none"/>
          <w:lang w:val="en-US" w:eastAsia="zh-CN"/>
        </w:rPr>
        <w:t>财政局党组书记、局长</w:t>
      </w:r>
    </w:p>
    <w:p w14:paraId="68051301">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23"/>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 xml:space="preserve">戚  涛  </w:t>
      </w:r>
      <w:r>
        <w:rPr>
          <w:rFonts w:hint="eastAsia" w:ascii="Times New Roman" w:hAnsi="Times New Roman" w:eastAsia="仿宋_GB2312" w:cs="Times New Roman"/>
          <w:b w:val="0"/>
          <w:bCs w:val="0"/>
          <w:strike w:val="0"/>
          <w:dstrike w:val="0"/>
          <w:color w:val="auto"/>
          <w:spacing w:val="-23"/>
          <w:sz w:val="32"/>
          <w:szCs w:val="32"/>
          <w:highlight w:val="none"/>
          <w:lang w:val="en-US" w:eastAsia="zh-CN"/>
        </w:rPr>
        <w:t>区人力资源和社会保障局党组书记、局长</w:t>
      </w:r>
    </w:p>
    <w:p w14:paraId="3CEBAA2C">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11"/>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谢  莹  区</w:t>
      </w:r>
      <w:r>
        <w:rPr>
          <w:rFonts w:hint="eastAsia" w:ascii="Times New Roman" w:hAnsi="Times New Roman" w:eastAsia="仿宋_GB2312" w:cs="Times New Roman"/>
          <w:b w:val="0"/>
          <w:bCs w:val="0"/>
          <w:strike w:val="0"/>
          <w:dstrike w:val="0"/>
          <w:color w:val="auto"/>
          <w:spacing w:val="-11"/>
          <w:sz w:val="32"/>
          <w:szCs w:val="32"/>
          <w:highlight w:val="none"/>
          <w:lang w:val="en-US" w:eastAsia="zh-CN"/>
        </w:rPr>
        <w:t>自然资源局党组书记、局长</w:t>
      </w:r>
    </w:p>
    <w:p w14:paraId="04E3CB7C">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孙中奇  区</w:t>
      </w:r>
      <w:r>
        <w:rPr>
          <w:rFonts w:hint="eastAsia" w:ascii="仿宋_GB2312" w:hAnsi="宋体" w:eastAsia="仿宋_GB2312" w:cs="仿宋_GB2312"/>
          <w:strike w:val="0"/>
          <w:dstrike w:val="0"/>
          <w:color w:val="auto"/>
          <w:kern w:val="0"/>
          <w:sz w:val="32"/>
          <w:szCs w:val="32"/>
          <w:highlight w:val="none"/>
          <w:u w:val="none"/>
          <w:lang w:val="en-US" w:eastAsia="zh-CN" w:bidi="ar"/>
        </w:rPr>
        <w:t>住房和城乡建设局</w:t>
      </w:r>
      <w:r>
        <w:rPr>
          <w:rFonts w:hint="eastAsia" w:ascii="Times New Roman" w:hAnsi="Times New Roman" w:eastAsia="仿宋_GB2312" w:cs="Times New Roman"/>
          <w:b w:val="0"/>
          <w:bCs w:val="0"/>
          <w:strike w:val="0"/>
          <w:dstrike w:val="0"/>
          <w:color w:val="auto"/>
          <w:spacing w:val="0"/>
          <w:sz w:val="32"/>
          <w:szCs w:val="32"/>
          <w:highlight w:val="none"/>
          <w:lang w:val="en-US" w:eastAsia="zh-CN"/>
        </w:rPr>
        <w:t>党组书记、局长</w:t>
      </w:r>
    </w:p>
    <w:p w14:paraId="2278B4D6">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潘  伟  区城乡水务局党组书记、局长</w:t>
      </w:r>
    </w:p>
    <w:p w14:paraId="7CADCD08">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周长宏  区卫生健康局党组书记、局长</w:t>
      </w:r>
    </w:p>
    <w:p w14:paraId="4A8537B5">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荆忠锋  区退役军人事务局党组书记、局长</w:t>
      </w:r>
    </w:p>
    <w:p w14:paraId="325E33D6">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王继园  区医保局党组书记、局长</w:t>
      </w:r>
    </w:p>
    <w:p w14:paraId="77ACDFB4">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夏晓波  区消防救援局局长</w:t>
      </w:r>
    </w:p>
    <w:p w14:paraId="036F72A2">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赵恒洽  张山子镇党委副书记、镇长</w:t>
      </w:r>
    </w:p>
    <w:p w14:paraId="4A24D10A">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郭厚琛  涧头集镇党委副书记、镇长</w:t>
      </w:r>
    </w:p>
    <w:p w14:paraId="5A47AA27">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姜  伟  运河街道党工委副书记、办事处主任</w:t>
      </w:r>
    </w:p>
    <w:p w14:paraId="3855C98A">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赵国栋  邳庄镇党委副书记、镇长</w:t>
      </w:r>
    </w:p>
    <w:p w14:paraId="7212E6BB">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刘  娟  马兰屯镇党委副书记、镇长</w:t>
      </w:r>
    </w:p>
    <w:p w14:paraId="67E523DF">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贾  斌  泥沟镇党委副书记、镇长</w:t>
      </w:r>
    </w:p>
    <w:p w14:paraId="49B0CE85">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 xml:space="preserve">吴石林  </w:t>
      </w:r>
      <w:r>
        <w:rPr>
          <w:rFonts w:hint="eastAsia" w:ascii="Times New Roman" w:hAnsi="Times New Roman" w:eastAsia="仿宋_GB2312" w:cs="Times New Roman"/>
          <w:b w:val="0"/>
          <w:bCs w:val="0"/>
          <w:strike w:val="0"/>
          <w:dstrike w:val="0"/>
          <w:color w:val="auto"/>
          <w:spacing w:val="-6"/>
          <w:sz w:val="32"/>
          <w:szCs w:val="32"/>
          <w:highlight w:val="none"/>
          <w:lang w:val="en-US" w:eastAsia="zh-CN"/>
        </w:rPr>
        <w:t>枣庄供电公司台儿庄分中心主任</w:t>
      </w:r>
    </w:p>
    <w:p w14:paraId="0CF926B5">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黄礼奎  区移动公司经理</w:t>
      </w:r>
    </w:p>
    <w:p w14:paraId="77848291">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周  彬  区联通公司经理</w:t>
      </w:r>
    </w:p>
    <w:p w14:paraId="26D57C4A">
      <w:pPr>
        <w:keepNext w:val="0"/>
        <w:keepLines w:val="0"/>
        <w:pageBreakBefore w:val="0"/>
        <w:widowControl w:val="0"/>
        <w:kinsoku/>
        <w:wordWrap w:val="0"/>
        <w:overflowPunct/>
        <w:topLinePunct w:val="0"/>
        <w:autoSpaceDE w:val="0"/>
        <w:autoSpaceDN w:val="0"/>
        <w:bidi w:val="0"/>
        <w:adjustRightInd/>
        <w:snapToGrid/>
        <w:spacing w:line="560" w:lineRule="exact"/>
        <w:ind w:firstLine="1920" w:firstLineChars="6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王经委  区电信公司经理</w:t>
      </w:r>
    </w:p>
    <w:p w14:paraId="1C4A3488">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b w:val="0"/>
          <w:bCs w:val="0"/>
          <w:strike w:val="0"/>
          <w:dstrike w:val="0"/>
          <w:color w:val="auto"/>
          <w:spacing w:val="0"/>
          <w:sz w:val="32"/>
          <w:szCs w:val="32"/>
          <w:highlight w:val="none"/>
          <w:lang w:val="en-US" w:eastAsia="zh-CN"/>
        </w:rPr>
      </w:pPr>
      <w:r>
        <w:rPr>
          <w:rFonts w:hint="eastAsia" w:ascii="Times New Roman" w:hAnsi="Times New Roman" w:eastAsia="仿宋_GB2312" w:cs="Times New Roman"/>
          <w:b w:val="0"/>
          <w:bCs w:val="0"/>
          <w:strike w:val="0"/>
          <w:dstrike w:val="0"/>
          <w:color w:val="auto"/>
          <w:spacing w:val="0"/>
          <w:sz w:val="32"/>
          <w:szCs w:val="32"/>
          <w:highlight w:val="none"/>
          <w:lang w:val="en-US" w:eastAsia="zh-CN"/>
        </w:rPr>
        <w:t>为保障专班高效运转，统筹推进“两院一体”医养结合各项工作落地见效，设立台儿庄区“两院一体”医养结合推进工作专班办公室（以下简称“专班办公室”），周长宏同志兼任专班办公室主任。专班办公室设在区卫生健康局，承担专班日常工作，待三年提升行动任务全面完成后自动撤销。</w:t>
      </w:r>
    </w:p>
    <w:p w14:paraId="20EA7E79">
      <w:pPr>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br w:type="page"/>
      </w:r>
    </w:p>
    <w:p w14:paraId="60DCE0D0">
      <w:pPr>
        <w:keepNext w:val="0"/>
        <w:keepLines w:val="0"/>
        <w:pageBreakBefore w:val="0"/>
        <w:widowControl w:val="0"/>
        <w:kinsoku/>
        <w:wordWrap/>
        <w:overflowPunct/>
        <w:topLinePunct/>
        <w:autoSpaceDE w:val="0"/>
        <w:autoSpaceDN w:val="0"/>
        <w:bidi w:val="0"/>
        <w:adjustRightInd w:val="0"/>
        <w:snapToGrid w:val="0"/>
        <w:spacing w:line="560" w:lineRule="exact"/>
        <w:ind w:left="0" w:right="0"/>
        <w:textAlignment w:val="baseline"/>
        <w:rPr>
          <w:rFonts w:hint="eastAsia" w:ascii="黑体" w:hAnsi="黑体" w:eastAsia="黑体" w:cs="黑体"/>
          <w:strike w:val="0"/>
          <w:dstrike w:val="0"/>
          <w:color w:val="auto"/>
          <w:spacing w:val="-11"/>
          <w:sz w:val="32"/>
          <w:szCs w:val="32"/>
          <w:highlight w:val="none"/>
          <w:lang w:val="en-US" w:eastAsia="zh-CN"/>
        </w:rPr>
      </w:pPr>
      <w:r>
        <w:rPr>
          <w:rFonts w:ascii="黑体" w:hAnsi="黑体" w:eastAsia="黑体" w:cs="黑体"/>
          <w:strike w:val="0"/>
          <w:dstrike w:val="0"/>
          <w:color w:val="auto"/>
          <w:spacing w:val="-11"/>
          <w:sz w:val="32"/>
          <w:szCs w:val="32"/>
          <w:highlight w:val="none"/>
        </w:rPr>
        <w:t>附件</w:t>
      </w:r>
      <w:r>
        <w:rPr>
          <w:rFonts w:hint="eastAsia" w:ascii="黑体" w:hAnsi="黑体" w:eastAsia="黑体" w:cs="黑体"/>
          <w:strike w:val="0"/>
          <w:dstrike w:val="0"/>
          <w:color w:val="auto"/>
          <w:spacing w:val="-11"/>
          <w:sz w:val="32"/>
          <w:szCs w:val="32"/>
          <w:highlight w:val="none"/>
          <w:lang w:val="en-US" w:eastAsia="zh-CN"/>
        </w:rPr>
        <w:t>2</w:t>
      </w:r>
    </w:p>
    <w:p w14:paraId="5D7F9D5C">
      <w:pPr>
        <w:keepNext w:val="0"/>
        <w:keepLines w:val="0"/>
        <w:pageBreakBefore w:val="0"/>
        <w:widowControl w:val="0"/>
        <w:kinsoku/>
        <w:wordWrap/>
        <w:overflowPunct/>
        <w:topLinePunct/>
        <w:autoSpaceDE w:val="0"/>
        <w:autoSpaceDN w:val="0"/>
        <w:bidi w:val="0"/>
        <w:adjustRightInd w:val="0"/>
        <w:snapToGrid w:val="0"/>
        <w:spacing w:line="560" w:lineRule="exact"/>
        <w:ind w:left="0" w:right="0"/>
        <w:textAlignment w:val="baseline"/>
        <w:rPr>
          <w:rFonts w:ascii="黑体" w:hAnsi="黑体" w:eastAsia="黑体" w:cs="黑体"/>
          <w:strike w:val="0"/>
          <w:dstrike w:val="0"/>
          <w:color w:val="auto"/>
          <w:spacing w:val="-11"/>
          <w:sz w:val="31"/>
          <w:szCs w:val="31"/>
          <w:highlight w:val="none"/>
        </w:rPr>
      </w:pPr>
    </w:p>
    <w:p w14:paraId="0C3D901E">
      <w:pPr>
        <w:keepNext w:val="0"/>
        <w:keepLines w:val="0"/>
        <w:pageBreakBefore w:val="0"/>
        <w:widowControl w:val="0"/>
        <w:kinsoku/>
        <w:wordWrap/>
        <w:overflowPunct/>
        <w:topLinePunct/>
        <w:autoSpaceDE w:val="0"/>
        <w:autoSpaceDN w:val="0"/>
        <w:bidi w:val="0"/>
        <w:adjustRightInd w:val="0"/>
        <w:snapToGrid w:val="0"/>
        <w:spacing w:line="560" w:lineRule="exact"/>
        <w:ind w:left="0" w:right="0"/>
        <w:jc w:val="center"/>
        <w:textAlignment w:val="baseline"/>
        <w:rPr>
          <w:rFonts w:ascii="方正小标宋简体" w:hAnsi="方正小标宋简体" w:eastAsia="方正小标宋简体" w:cs="方正小标宋简体"/>
          <w:strike w:val="0"/>
          <w:dstrike w:val="0"/>
          <w:color w:val="auto"/>
          <w:sz w:val="43"/>
          <w:szCs w:val="43"/>
          <w:highlight w:val="none"/>
        </w:rPr>
      </w:pPr>
      <w:r>
        <w:rPr>
          <w:rFonts w:hint="eastAsia" w:ascii="方正小标宋简体" w:hAnsi="方正小标宋简体" w:eastAsia="方正小标宋简体" w:cs="方正小标宋简体"/>
          <w:strike w:val="0"/>
          <w:dstrike w:val="0"/>
          <w:color w:val="auto"/>
          <w:spacing w:val="-2"/>
          <w:sz w:val="43"/>
          <w:szCs w:val="43"/>
          <w:highlight w:val="none"/>
          <w:lang w:val="en-US" w:eastAsia="zh-CN"/>
        </w:rPr>
        <w:t>枣庄市</w:t>
      </w:r>
      <w:r>
        <w:rPr>
          <w:rFonts w:ascii="方正小标宋简体" w:hAnsi="方正小标宋简体" w:eastAsia="方正小标宋简体" w:cs="方正小标宋简体"/>
          <w:strike w:val="0"/>
          <w:dstrike w:val="0"/>
          <w:color w:val="auto"/>
          <w:spacing w:val="-2"/>
          <w:sz w:val="43"/>
          <w:szCs w:val="43"/>
          <w:highlight w:val="none"/>
        </w:rPr>
        <w:t>“两院一体”医养结合机构建设标准</w:t>
      </w:r>
    </w:p>
    <w:p w14:paraId="05A0699F">
      <w:pPr>
        <w:keepNext w:val="0"/>
        <w:keepLines w:val="0"/>
        <w:pageBreakBefore w:val="0"/>
        <w:widowControl w:val="0"/>
        <w:kinsoku/>
        <w:wordWrap/>
        <w:overflowPunct/>
        <w:topLinePunct/>
        <w:autoSpaceDE w:val="0"/>
        <w:autoSpaceDN w:val="0"/>
        <w:bidi w:val="0"/>
        <w:adjustRightInd w:val="0"/>
        <w:snapToGrid w:val="0"/>
        <w:spacing w:line="560" w:lineRule="exact"/>
        <w:ind w:left="0" w:right="0"/>
        <w:textAlignment w:val="baseline"/>
        <w:rPr>
          <w:strike w:val="0"/>
          <w:dstrike w:val="0"/>
          <w:color w:val="auto"/>
          <w:highlight w:val="none"/>
        </w:rPr>
      </w:pPr>
    </w:p>
    <w:tbl>
      <w:tblPr>
        <w:tblStyle w:val="12"/>
        <w:tblW w:w="8705"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7828"/>
        <w:gridCol w:w="4"/>
      </w:tblGrid>
      <w:tr w14:paraId="35C3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873" w:type="dxa"/>
            <w:tcBorders>
              <w:top w:val="single" w:color="000000" w:sz="10" w:space="0"/>
              <w:left w:val="single" w:color="000000" w:sz="10" w:space="0"/>
            </w:tcBorders>
            <w:vAlign w:val="center"/>
          </w:tcPr>
          <w:p w14:paraId="497E4017">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黑体" w:hAnsi="黑体" w:eastAsia="黑体" w:cs="黑体"/>
                <w:strike w:val="0"/>
                <w:dstrike w:val="0"/>
                <w:color w:val="auto"/>
                <w:sz w:val="28"/>
                <w:szCs w:val="28"/>
                <w:highlight w:val="none"/>
              </w:rPr>
            </w:pPr>
            <w:r>
              <w:rPr>
                <w:rFonts w:hint="eastAsia" w:ascii="黑体" w:hAnsi="黑体" w:eastAsia="黑体" w:cs="黑体"/>
                <w:strike w:val="0"/>
                <w:dstrike w:val="0"/>
                <w:color w:val="auto"/>
                <w:spacing w:val="-5"/>
                <w:sz w:val="28"/>
                <w:szCs w:val="28"/>
                <w:highlight w:val="none"/>
              </w:rPr>
              <w:t>序号</w:t>
            </w:r>
          </w:p>
        </w:tc>
        <w:tc>
          <w:tcPr>
            <w:tcW w:w="7832" w:type="dxa"/>
            <w:gridSpan w:val="2"/>
            <w:tcBorders>
              <w:top w:val="single" w:color="000000" w:sz="10" w:space="0"/>
              <w:right w:val="single" w:color="000000" w:sz="10" w:space="0"/>
            </w:tcBorders>
            <w:vAlign w:val="center"/>
          </w:tcPr>
          <w:p w14:paraId="4C01AE47">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黑体" w:hAnsi="黑体" w:eastAsia="黑体" w:cs="黑体"/>
                <w:strike w:val="0"/>
                <w:dstrike w:val="0"/>
                <w:color w:val="auto"/>
                <w:sz w:val="28"/>
                <w:szCs w:val="28"/>
                <w:highlight w:val="none"/>
              </w:rPr>
            </w:pPr>
            <w:r>
              <w:rPr>
                <w:rFonts w:hint="eastAsia" w:ascii="黑体" w:hAnsi="黑体" w:eastAsia="黑体" w:cs="黑体"/>
                <w:strike w:val="0"/>
                <w:dstrike w:val="0"/>
                <w:color w:val="auto"/>
                <w:spacing w:val="-5"/>
                <w:sz w:val="28"/>
                <w:szCs w:val="28"/>
                <w:highlight w:val="none"/>
              </w:rPr>
              <w:t>指标</w:t>
            </w:r>
          </w:p>
        </w:tc>
      </w:tr>
      <w:tr w14:paraId="437B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05" w:type="dxa"/>
            <w:gridSpan w:val="3"/>
            <w:tcBorders>
              <w:left w:val="single" w:color="000000" w:sz="10" w:space="0"/>
              <w:right w:val="single" w:color="000000" w:sz="10" w:space="0"/>
            </w:tcBorders>
            <w:vAlign w:val="center"/>
          </w:tcPr>
          <w:p w14:paraId="133B235C">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黑体" w:hAnsi="黑体" w:eastAsia="黑体" w:cs="黑体"/>
                <w:strike w:val="0"/>
                <w:dstrike w:val="0"/>
                <w:color w:val="auto"/>
                <w:sz w:val="21"/>
                <w:szCs w:val="21"/>
                <w:highlight w:val="none"/>
              </w:rPr>
            </w:pPr>
            <w:r>
              <w:rPr>
                <w:rFonts w:hint="eastAsia" w:ascii="楷体_GB2312" w:hAnsi="楷体_GB2312" w:eastAsia="楷体_GB2312" w:cs="楷体_GB2312"/>
                <w:strike w:val="0"/>
                <w:dstrike w:val="0"/>
                <w:color w:val="auto"/>
                <w:spacing w:val="-10"/>
                <w:sz w:val="28"/>
                <w:szCs w:val="28"/>
                <w:highlight w:val="none"/>
              </w:rPr>
              <w:t>一、机构设置</w:t>
            </w:r>
          </w:p>
        </w:tc>
      </w:tr>
      <w:tr w14:paraId="7696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08DA2959">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w:t>
            </w:r>
          </w:p>
        </w:tc>
        <w:tc>
          <w:tcPr>
            <w:tcW w:w="7832" w:type="dxa"/>
            <w:gridSpan w:val="2"/>
            <w:tcBorders>
              <w:right w:val="single" w:color="000000" w:sz="10" w:space="0"/>
            </w:tcBorders>
            <w:vAlign w:val="top"/>
          </w:tcPr>
          <w:p w14:paraId="77FAC3DE">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z w:val="28"/>
                <w:szCs w:val="28"/>
                <w:highlight w:val="none"/>
              </w:rPr>
            </w:pPr>
            <w:r>
              <w:rPr>
                <w:rFonts w:hint="eastAsia" w:ascii="仿宋_GB2312" w:hAnsi="仿宋_GB2312" w:eastAsia="仿宋_GB2312" w:cs="仿宋_GB2312"/>
                <w:strike w:val="0"/>
                <w:dstrike w:val="0"/>
                <w:color w:val="auto"/>
                <w:spacing w:val="-11"/>
                <w:sz w:val="28"/>
                <w:szCs w:val="28"/>
                <w:highlight w:val="none"/>
              </w:rPr>
              <w:t>依法取得医疗机构执业许可证，在民政部门完成</w:t>
            </w:r>
            <w:r>
              <w:rPr>
                <w:rFonts w:hint="eastAsia" w:ascii="仿宋_GB2312" w:hAnsi="仿宋_GB2312" w:eastAsia="仿宋_GB2312" w:cs="仿宋_GB2312"/>
                <w:strike w:val="0"/>
                <w:dstrike w:val="0"/>
                <w:color w:val="auto"/>
                <w:spacing w:val="-12"/>
                <w:sz w:val="28"/>
                <w:szCs w:val="28"/>
                <w:highlight w:val="none"/>
              </w:rPr>
              <w:t>养老机构备案。</w:t>
            </w:r>
          </w:p>
        </w:tc>
      </w:tr>
      <w:tr w14:paraId="3B39B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201E37B8">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w:t>
            </w:r>
          </w:p>
        </w:tc>
        <w:tc>
          <w:tcPr>
            <w:tcW w:w="7832" w:type="dxa"/>
            <w:gridSpan w:val="2"/>
            <w:tcBorders>
              <w:right w:val="single" w:color="000000" w:sz="10" w:space="0"/>
            </w:tcBorders>
            <w:vAlign w:val="top"/>
          </w:tcPr>
          <w:p w14:paraId="2DD92682">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z w:val="28"/>
                <w:szCs w:val="28"/>
                <w:highlight w:val="none"/>
              </w:rPr>
            </w:pPr>
            <w:r>
              <w:rPr>
                <w:rFonts w:hint="eastAsia" w:ascii="仿宋_GB2312" w:hAnsi="仿宋_GB2312" w:eastAsia="仿宋_GB2312" w:cs="仿宋_GB2312"/>
                <w:strike w:val="0"/>
                <w:dstrike w:val="0"/>
                <w:color w:val="auto"/>
                <w:spacing w:val="-18"/>
                <w:sz w:val="28"/>
                <w:szCs w:val="28"/>
                <w:highlight w:val="none"/>
              </w:rPr>
              <w:t>开展餐饮服务的，应当符合《中华人民共和国食品安全法》《养老机构管理办</w:t>
            </w:r>
            <w:r>
              <w:rPr>
                <w:rFonts w:hint="eastAsia" w:ascii="仿宋_GB2312" w:hAnsi="仿宋_GB2312" w:eastAsia="仿宋_GB2312" w:cs="仿宋_GB2312"/>
                <w:strike w:val="0"/>
                <w:dstrike w:val="0"/>
                <w:color w:val="auto"/>
                <w:spacing w:val="-15"/>
                <w:sz w:val="28"/>
                <w:szCs w:val="28"/>
                <w:highlight w:val="none"/>
              </w:rPr>
              <w:t>法》（民政部令第66号）等法律法规，以及食品</w:t>
            </w:r>
            <w:r>
              <w:rPr>
                <w:rFonts w:hint="eastAsia" w:ascii="仿宋_GB2312" w:hAnsi="仿宋_GB2312" w:eastAsia="仿宋_GB2312" w:cs="仿宋_GB2312"/>
                <w:strike w:val="0"/>
                <w:dstrike w:val="0"/>
                <w:color w:val="auto"/>
                <w:spacing w:val="-16"/>
                <w:sz w:val="28"/>
                <w:szCs w:val="28"/>
                <w:highlight w:val="none"/>
              </w:rPr>
              <w:t>安全标准。</w:t>
            </w:r>
          </w:p>
        </w:tc>
      </w:tr>
      <w:tr w14:paraId="566B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7EB8D86B">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w:t>
            </w:r>
          </w:p>
        </w:tc>
        <w:tc>
          <w:tcPr>
            <w:tcW w:w="7832" w:type="dxa"/>
            <w:gridSpan w:val="2"/>
            <w:tcBorders>
              <w:right w:val="single" w:color="000000" w:sz="10" w:space="0"/>
            </w:tcBorders>
            <w:vAlign w:val="top"/>
          </w:tcPr>
          <w:p w14:paraId="61E75F32">
            <w:pPr>
              <w:keepNext w:val="0"/>
              <w:keepLines w:val="0"/>
              <w:pageBreakBefore w:val="0"/>
              <w:widowControl w:val="0"/>
              <w:kinsoku/>
              <w:wordWrap/>
              <w:overflowPunct/>
              <w:topLinePunct/>
              <w:autoSpaceDE w:val="0"/>
              <w:autoSpaceDN w:val="0"/>
              <w:bidi w:val="0"/>
              <w:adjustRightInd w:val="0"/>
              <w:snapToGrid w:val="0"/>
              <w:spacing w:line="400" w:lineRule="exact"/>
              <w:ind w:left="0" w:right="0" w:firstLine="4"/>
              <w:textAlignment w:val="baseline"/>
              <w:rPr>
                <w:rFonts w:hint="eastAsia" w:ascii="仿宋_GB2312" w:hAnsi="仿宋_GB2312" w:eastAsia="仿宋_GB2312" w:cs="仿宋_GB2312"/>
                <w:strike w:val="0"/>
                <w:dstrike w:val="0"/>
                <w:color w:val="auto"/>
                <w:sz w:val="28"/>
                <w:szCs w:val="28"/>
                <w:highlight w:val="none"/>
              </w:rPr>
            </w:pPr>
            <w:r>
              <w:rPr>
                <w:rFonts w:hint="eastAsia" w:ascii="仿宋_GB2312" w:hAnsi="仿宋_GB2312" w:eastAsia="仿宋_GB2312" w:cs="仿宋_GB2312"/>
                <w:strike w:val="0"/>
                <w:dstrike w:val="0"/>
                <w:color w:val="auto"/>
                <w:spacing w:val="-16"/>
                <w:sz w:val="28"/>
                <w:szCs w:val="28"/>
                <w:highlight w:val="none"/>
              </w:rPr>
              <w:t>设有全科医学门诊及病房，能够为入住老年人提供预防期保健、患病期治疗、</w:t>
            </w:r>
            <w:r>
              <w:rPr>
                <w:rFonts w:hint="eastAsia" w:ascii="仿宋_GB2312" w:hAnsi="仿宋_GB2312" w:eastAsia="仿宋_GB2312" w:cs="仿宋_GB2312"/>
                <w:strike w:val="0"/>
                <w:dstrike w:val="0"/>
                <w:color w:val="auto"/>
                <w:spacing w:val="-11"/>
                <w:sz w:val="28"/>
                <w:szCs w:val="28"/>
                <w:highlight w:val="none"/>
              </w:rPr>
              <w:t>康复期护理、稳定期生活照料以及临终期安宁疗护一</w:t>
            </w:r>
            <w:r>
              <w:rPr>
                <w:rFonts w:hint="eastAsia" w:ascii="仿宋_GB2312" w:hAnsi="仿宋_GB2312" w:eastAsia="仿宋_GB2312" w:cs="仿宋_GB2312"/>
                <w:strike w:val="0"/>
                <w:dstrike w:val="0"/>
                <w:color w:val="auto"/>
                <w:spacing w:val="-12"/>
                <w:sz w:val="28"/>
                <w:szCs w:val="28"/>
                <w:highlight w:val="none"/>
              </w:rPr>
              <w:t>体化的医养结合服务。</w:t>
            </w:r>
          </w:p>
        </w:tc>
      </w:tr>
      <w:tr w14:paraId="5BFE2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5E6ADB07">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w:t>
            </w:r>
          </w:p>
        </w:tc>
        <w:tc>
          <w:tcPr>
            <w:tcW w:w="7832" w:type="dxa"/>
            <w:gridSpan w:val="2"/>
            <w:tcBorders>
              <w:right w:val="single" w:color="000000" w:sz="10" w:space="0"/>
            </w:tcBorders>
            <w:vAlign w:val="top"/>
          </w:tcPr>
          <w:p w14:paraId="4C17B3BE">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设有医疗护理管理部门，对医疗护理服务实</w:t>
            </w:r>
            <w:r>
              <w:rPr>
                <w:rFonts w:hint="eastAsia" w:ascii="仿宋_GB2312" w:hAnsi="仿宋_GB2312" w:eastAsia="仿宋_GB2312" w:cs="仿宋_GB2312"/>
                <w:strike w:val="0"/>
                <w:dstrike w:val="0"/>
                <w:color w:val="auto"/>
                <w:spacing w:val="-12"/>
                <w:sz w:val="28"/>
                <w:szCs w:val="28"/>
                <w:highlight w:val="none"/>
              </w:rPr>
              <w:t>施监督管理。</w:t>
            </w:r>
          </w:p>
        </w:tc>
      </w:tr>
      <w:tr w14:paraId="704D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1ADE93EB">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w:t>
            </w:r>
          </w:p>
        </w:tc>
        <w:tc>
          <w:tcPr>
            <w:tcW w:w="7832" w:type="dxa"/>
            <w:gridSpan w:val="2"/>
            <w:tcBorders>
              <w:right w:val="single" w:color="000000" w:sz="10" w:space="0"/>
            </w:tcBorders>
            <w:vAlign w:val="top"/>
          </w:tcPr>
          <w:p w14:paraId="7FF293FF">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z w:val="28"/>
                <w:szCs w:val="28"/>
                <w:highlight w:val="none"/>
              </w:rPr>
            </w:pPr>
            <w:r>
              <w:rPr>
                <w:rFonts w:hint="eastAsia" w:ascii="仿宋_GB2312" w:hAnsi="仿宋_GB2312" w:eastAsia="仿宋_GB2312" w:cs="仿宋_GB2312"/>
                <w:strike w:val="0"/>
                <w:dstrike w:val="0"/>
                <w:color w:val="auto"/>
                <w:spacing w:val="-12"/>
                <w:sz w:val="28"/>
                <w:szCs w:val="28"/>
                <w:highlight w:val="none"/>
              </w:rPr>
              <w:t>与医疗保障部门签订基本医疗保险定点机构协议。</w:t>
            </w:r>
          </w:p>
        </w:tc>
      </w:tr>
      <w:tr w14:paraId="133D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05" w:type="dxa"/>
            <w:gridSpan w:val="3"/>
            <w:tcBorders>
              <w:left w:val="single" w:color="000000" w:sz="10" w:space="0"/>
              <w:right w:val="single" w:color="000000" w:sz="10" w:space="0"/>
            </w:tcBorders>
            <w:vAlign w:val="center"/>
          </w:tcPr>
          <w:p w14:paraId="0B98210C">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黑体" w:hAnsi="黑体" w:eastAsia="黑体" w:cs="黑体"/>
                <w:strike w:val="0"/>
                <w:dstrike w:val="0"/>
                <w:color w:val="auto"/>
                <w:sz w:val="21"/>
                <w:szCs w:val="21"/>
                <w:highlight w:val="none"/>
              </w:rPr>
            </w:pPr>
            <w:r>
              <w:rPr>
                <w:rFonts w:hint="eastAsia" w:ascii="楷体_GB2312" w:hAnsi="楷体_GB2312" w:eastAsia="楷体_GB2312" w:cs="楷体_GB2312"/>
                <w:strike w:val="0"/>
                <w:dstrike w:val="0"/>
                <w:color w:val="auto"/>
                <w:spacing w:val="-10"/>
                <w:sz w:val="28"/>
                <w:szCs w:val="28"/>
                <w:highlight w:val="none"/>
              </w:rPr>
              <w:t>二、场地要求</w:t>
            </w:r>
          </w:p>
        </w:tc>
      </w:tr>
      <w:tr w14:paraId="3C26E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4872E779">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6</w:t>
            </w:r>
          </w:p>
        </w:tc>
        <w:tc>
          <w:tcPr>
            <w:tcW w:w="7832" w:type="dxa"/>
            <w:gridSpan w:val="2"/>
            <w:tcBorders>
              <w:right w:val="single" w:color="000000" w:sz="10" w:space="0"/>
            </w:tcBorders>
            <w:vAlign w:val="top"/>
          </w:tcPr>
          <w:p w14:paraId="13741474">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符合《医养结合机构服务指南（试行）》（国卫办老龄发〔2019〕24号）、《医养结合机构管理指南》（国卫办老龄发〔2020〕15号）规定。</w:t>
            </w:r>
          </w:p>
        </w:tc>
      </w:tr>
      <w:tr w14:paraId="7F67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tcBorders>
            <w:vAlign w:val="center"/>
          </w:tcPr>
          <w:p w14:paraId="3DAF838A">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7</w:t>
            </w:r>
          </w:p>
        </w:tc>
        <w:tc>
          <w:tcPr>
            <w:tcW w:w="7832" w:type="dxa"/>
            <w:gridSpan w:val="2"/>
            <w:tcBorders>
              <w:right w:val="single" w:color="000000" w:sz="10" w:space="0"/>
            </w:tcBorders>
            <w:vAlign w:val="top"/>
          </w:tcPr>
          <w:p w14:paraId="2BDB524D">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符合《中华人民共和国建筑法》《中华人民共和国消防法》《无障碍环境建设条例》等法律法规，以及《医疗机构基本标准（试行）》（卫医发〔1994〕30号）、《建筑设计防火规范》（GB50016-2018）、《养老机构管理办法》（民政部令第66号）、《无障碍设计规范》（住房和城乡建设部第1354号公告）等国家标准与行业标准，满足环境影响评价分类管理要求。</w:t>
            </w:r>
          </w:p>
        </w:tc>
      </w:tr>
      <w:tr w14:paraId="273CD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3" w:type="dxa"/>
            <w:tcBorders>
              <w:left w:val="single" w:color="000000" w:sz="10" w:space="0"/>
              <w:bottom w:val="single" w:color="000000" w:sz="10" w:space="0"/>
            </w:tcBorders>
            <w:vAlign w:val="center"/>
          </w:tcPr>
          <w:p w14:paraId="19F6DA08">
            <w:pPr>
              <w:keepNext w:val="0"/>
              <w:keepLines w:val="0"/>
              <w:pageBreakBefore w:val="0"/>
              <w:widowControl w:val="0"/>
              <w:kinsoku/>
              <w:wordWrap/>
              <w:overflowPunct/>
              <w:topLinePunct/>
              <w:autoSpaceDE w:val="0"/>
              <w:autoSpaceDN w:val="0"/>
              <w:bidi w:val="0"/>
              <w:adjustRightInd w:val="0"/>
              <w:snapToGrid w:val="0"/>
              <w:spacing w:line="40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8</w:t>
            </w:r>
          </w:p>
        </w:tc>
        <w:tc>
          <w:tcPr>
            <w:tcW w:w="7832" w:type="dxa"/>
            <w:gridSpan w:val="2"/>
            <w:tcBorders>
              <w:bottom w:val="single" w:color="000000" w:sz="10" w:space="0"/>
              <w:right w:val="single" w:color="000000" w:sz="10" w:space="0"/>
            </w:tcBorders>
            <w:vAlign w:val="top"/>
          </w:tcPr>
          <w:p w14:paraId="26576D0B">
            <w:pPr>
              <w:keepNext w:val="0"/>
              <w:keepLines w:val="0"/>
              <w:pageBreakBefore w:val="0"/>
              <w:widowControl w:val="0"/>
              <w:kinsoku/>
              <w:wordWrap/>
              <w:overflowPunct/>
              <w:topLinePunct/>
              <w:autoSpaceDE w:val="0"/>
              <w:autoSpaceDN w:val="0"/>
              <w:bidi w:val="0"/>
              <w:adjustRightInd w:val="0"/>
              <w:snapToGrid w:val="0"/>
              <w:spacing w:line="40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建筑布局严格按照养老及医疗功能作系统规划，分区科学合理，院内医疗废物存放点与治疗区域隔开；有独立设置的养老服务场所，且与医疗服务区域分区管理、物理隔离。</w:t>
            </w:r>
          </w:p>
        </w:tc>
      </w:tr>
      <w:tr w14:paraId="39D0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top w:val="single" w:color="000000" w:sz="10" w:space="0"/>
              <w:left w:val="single" w:color="000000" w:sz="10" w:space="0"/>
            </w:tcBorders>
            <w:tcMar>
              <w:left w:w="108" w:type="dxa"/>
              <w:right w:w="108" w:type="dxa"/>
            </w:tcMar>
            <w:vAlign w:val="center"/>
          </w:tcPr>
          <w:p w14:paraId="6501B52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黑体" w:hAnsi="黑体" w:eastAsia="黑体" w:cs="黑体"/>
                <w:strike w:val="0"/>
                <w:dstrike w:val="0"/>
                <w:color w:val="auto"/>
                <w:sz w:val="21"/>
                <w:szCs w:val="21"/>
                <w:highlight w:val="none"/>
              </w:rPr>
            </w:pPr>
            <w:r>
              <w:rPr>
                <w:rFonts w:hint="eastAsia" w:ascii="黑体" w:hAnsi="黑体" w:eastAsia="黑体" w:cs="黑体"/>
                <w:strike w:val="0"/>
                <w:dstrike w:val="0"/>
                <w:color w:val="auto"/>
                <w:spacing w:val="-5"/>
                <w:sz w:val="28"/>
                <w:szCs w:val="28"/>
                <w:highlight w:val="none"/>
              </w:rPr>
              <w:t>序号</w:t>
            </w:r>
          </w:p>
        </w:tc>
        <w:tc>
          <w:tcPr>
            <w:tcW w:w="7828" w:type="dxa"/>
            <w:tcBorders>
              <w:top w:val="single" w:color="000000" w:sz="10" w:space="0"/>
              <w:right w:val="single" w:color="000000" w:sz="10" w:space="0"/>
            </w:tcBorders>
            <w:tcMar>
              <w:left w:w="108" w:type="dxa"/>
              <w:right w:w="108" w:type="dxa"/>
            </w:tcMar>
            <w:vAlign w:val="center"/>
          </w:tcPr>
          <w:p w14:paraId="609FF15D">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黑体" w:hAnsi="黑体" w:eastAsia="黑体" w:cs="黑体"/>
                <w:strike w:val="0"/>
                <w:dstrike w:val="0"/>
                <w:color w:val="auto"/>
                <w:sz w:val="21"/>
                <w:szCs w:val="21"/>
                <w:highlight w:val="none"/>
              </w:rPr>
            </w:pPr>
            <w:r>
              <w:rPr>
                <w:rFonts w:hint="eastAsia" w:ascii="黑体" w:hAnsi="黑体" w:eastAsia="黑体" w:cs="黑体"/>
                <w:strike w:val="0"/>
                <w:dstrike w:val="0"/>
                <w:color w:val="auto"/>
                <w:spacing w:val="-5"/>
                <w:sz w:val="28"/>
                <w:szCs w:val="28"/>
                <w:highlight w:val="none"/>
              </w:rPr>
              <w:t>指标</w:t>
            </w:r>
          </w:p>
        </w:tc>
      </w:tr>
      <w:tr w14:paraId="1D46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0F3178E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9</w:t>
            </w:r>
          </w:p>
        </w:tc>
        <w:tc>
          <w:tcPr>
            <w:tcW w:w="7828" w:type="dxa"/>
            <w:tcBorders>
              <w:right w:val="single" w:color="000000" w:sz="10" w:space="0"/>
            </w:tcBorders>
            <w:tcMar>
              <w:left w:w="108" w:type="dxa"/>
              <w:right w:w="108" w:type="dxa"/>
            </w:tcMar>
            <w:vAlign w:val="center"/>
          </w:tcPr>
          <w:p w14:paraId="4442DD48">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老年人居室和老年人休息室不得设置在地下室、半地下室，不得与电梯井道、有噪声振动的设备机房等相邻布置。</w:t>
            </w:r>
          </w:p>
        </w:tc>
      </w:tr>
      <w:tr w14:paraId="303A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3F5AC4B7">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10</w:t>
            </w:r>
          </w:p>
        </w:tc>
        <w:tc>
          <w:tcPr>
            <w:tcW w:w="7828" w:type="dxa"/>
            <w:tcBorders>
              <w:right w:val="single" w:color="000000" w:sz="10" w:space="0"/>
            </w:tcBorders>
            <w:tcMar>
              <w:left w:w="108" w:type="dxa"/>
              <w:right w:w="108" w:type="dxa"/>
            </w:tcMar>
            <w:vAlign w:val="center"/>
          </w:tcPr>
          <w:p w14:paraId="39248BF9">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消防设施设备符合国家相关消防要求。</w:t>
            </w:r>
          </w:p>
        </w:tc>
      </w:tr>
      <w:tr w14:paraId="2774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46BDFC02">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11</w:t>
            </w:r>
          </w:p>
        </w:tc>
        <w:tc>
          <w:tcPr>
            <w:tcW w:w="7828" w:type="dxa"/>
            <w:tcBorders>
              <w:right w:val="single" w:color="000000" w:sz="10" w:space="0"/>
            </w:tcBorders>
            <w:tcMar>
              <w:left w:w="108" w:type="dxa"/>
              <w:right w:w="108" w:type="dxa"/>
            </w:tcMar>
            <w:vAlign w:val="center"/>
          </w:tcPr>
          <w:p w14:paraId="755AC006">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医疗区地面须防滑、防噪音，房间及走廊墙面须方便清洗和消毒。</w:t>
            </w:r>
          </w:p>
        </w:tc>
      </w:tr>
      <w:tr w14:paraId="57CF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01" w:type="dxa"/>
            <w:gridSpan w:val="2"/>
            <w:tcBorders>
              <w:left w:val="single" w:color="000000" w:sz="10" w:space="0"/>
              <w:right w:val="single" w:color="000000" w:sz="10" w:space="0"/>
            </w:tcBorders>
            <w:tcMar>
              <w:left w:w="108" w:type="dxa"/>
              <w:right w:w="108" w:type="dxa"/>
            </w:tcMar>
            <w:vAlign w:val="center"/>
          </w:tcPr>
          <w:p w14:paraId="67FCB2F8">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三、设施设备</w:t>
            </w:r>
          </w:p>
        </w:tc>
      </w:tr>
      <w:tr w14:paraId="1B67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60CC71CA">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12</w:t>
            </w:r>
          </w:p>
        </w:tc>
        <w:tc>
          <w:tcPr>
            <w:tcW w:w="7828" w:type="dxa"/>
            <w:tcBorders>
              <w:right w:val="single" w:color="000000" w:sz="10" w:space="0"/>
            </w:tcBorders>
            <w:tcMar>
              <w:left w:w="108" w:type="dxa"/>
              <w:right w:w="108" w:type="dxa"/>
            </w:tcMar>
            <w:vAlign w:val="center"/>
          </w:tcPr>
          <w:p w14:paraId="4AB3CFB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符合《老年人居住建筑设计规范》（GB50340-2016）、《老年人照料设施建筑设计标准》（JGJ450-2018）要求，设施设备保持完好有效状态。</w:t>
            </w:r>
          </w:p>
        </w:tc>
      </w:tr>
      <w:tr w14:paraId="5F2F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1928435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13</w:t>
            </w:r>
          </w:p>
        </w:tc>
        <w:tc>
          <w:tcPr>
            <w:tcW w:w="7828" w:type="dxa"/>
            <w:tcBorders>
              <w:right w:val="single" w:color="000000" w:sz="10" w:space="0"/>
            </w:tcBorders>
            <w:tcMar>
              <w:left w:w="108" w:type="dxa"/>
              <w:right w:w="108" w:type="dxa"/>
            </w:tcMar>
            <w:vAlign w:val="center"/>
          </w:tcPr>
          <w:p w14:paraId="6264E9FE">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门急诊和住院、养老区域主出入口设有无障碍通道。</w:t>
            </w:r>
          </w:p>
        </w:tc>
      </w:tr>
      <w:tr w14:paraId="0975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28AB4A39">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14</w:t>
            </w:r>
          </w:p>
        </w:tc>
        <w:tc>
          <w:tcPr>
            <w:tcW w:w="7828" w:type="dxa"/>
            <w:tcBorders>
              <w:right w:val="single" w:color="000000" w:sz="10" w:space="0"/>
            </w:tcBorders>
            <w:tcMar>
              <w:left w:w="108" w:type="dxa"/>
              <w:right w:w="108" w:type="dxa"/>
            </w:tcMar>
            <w:vAlign w:val="center"/>
          </w:tcPr>
          <w:p w14:paraId="18091556">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走廊设有扶手，墙角有护角，地面加防护垫，无反光。</w:t>
            </w:r>
          </w:p>
        </w:tc>
      </w:tr>
      <w:tr w14:paraId="7CA5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56228B4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15</w:t>
            </w:r>
          </w:p>
        </w:tc>
        <w:tc>
          <w:tcPr>
            <w:tcW w:w="7828" w:type="dxa"/>
            <w:tcBorders>
              <w:right w:val="single" w:color="000000" w:sz="10" w:space="0"/>
            </w:tcBorders>
            <w:tcMar>
              <w:left w:w="108" w:type="dxa"/>
              <w:right w:w="108" w:type="dxa"/>
            </w:tcMar>
            <w:vAlign w:val="center"/>
          </w:tcPr>
          <w:p w14:paraId="2E0DF21C">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老年人床位配备呼叫对讲系统；安全通道配备安全指示标志、消防器材、应急照明灯和低位照明灯；卫生间及浴室设安全扶手和紧急呼叫按钮。</w:t>
            </w:r>
          </w:p>
        </w:tc>
      </w:tr>
      <w:tr w14:paraId="67C2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2EAEC2D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16</w:t>
            </w:r>
          </w:p>
        </w:tc>
        <w:tc>
          <w:tcPr>
            <w:tcW w:w="7828" w:type="dxa"/>
            <w:tcBorders>
              <w:right w:val="single" w:color="000000" w:sz="10" w:space="0"/>
            </w:tcBorders>
            <w:tcMar>
              <w:left w:w="108" w:type="dxa"/>
              <w:right w:w="108" w:type="dxa"/>
            </w:tcMar>
            <w:vAlign w:val="center"/>
          </w:tcPr>
          <w:p w14:paraId="656C7540">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每间居室应按不小于6平方米／床确定使用面积。单人间居室使用面积不小于10平方米，双人间居室使用面积不小于16平方米。</w:t>
            </w:r>
          </w:p>
        </w:tc>
      </w:tr>
      <w:tr w14:paraId="5C3F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178ED5ED">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17</w:t>
            </w:r>
          </w:p>
        </w:tc>
        <w:tc>
          <w:tcPr>
            <w:tcW w:w="7828" w:type="dxa"/>
            <w:tcBorders>
              <w:right w:val="single" w:color="000000" w:sz="10" w:space="0"/>
            </w:tcBorders>
            <w:tcMar>
              <w:left w:w="108" w:type="dxa"/>
              <w:right w:w="108" w:type="dxa"/>
            </w:tcMar>
            <w:vAlign w:val="center"/>
          </w:tcPr>
          <w:p w14:paraId="2E8B46C2">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设有康复训练室和理疗室，配备相应的康复训练器材和理疗设备。</w:t>
            </w:r>
          </w:p>
        </w:tc>
      </w:tr>
      <w:tr w14:paraId="44B40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376A3EE4">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18</w:t>
            </w:r>
          </w:p>
        </w:tc>
        <w:tc>
          <w:tcPr>
            <w:tcW w:w="7828" w:type="dxa"/>
            <w:tcBorders>
              <w:right w:val="single" w:color="000000" w:sz="10" w:space="0"/>
            </w:tcBorders>
            <w:tcMar>
              <w:left w:w="108" w:type="dxa"/>
              <w:right w:w="108" w:type="dxa"/>
            </w:tcMar>
            <w:vAlign w:val="center"/>
          </w:tcPr>
          <w:p w14:paraId="374120F9">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设有文化娱乐活动场所，且定期开展文化娱乐活动。</w:t>
            </w:r>
          </w:p>
        </w:tc>
      </w:tr>
      <w:tr w14:paraId="34BE0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47983D30">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19</w:t>
            </w:r>
          </w:p>
        </w:tc>
        <w:tc>
          <w:tcPr>
            <w:tcW w:w="7828" w:type="dxa"/>
            <w:tcBorders>
              <w:right w:val="single" w:color="000000" w:sz="10" w:space="0"/>
            </w:tcBorders>
            <w:tcMar>
              <w:left w:w="108" w:type="dxa"/>
              <w:right w:w="108" w:type="dxa"/>
            </w:tcMar>
            <w:vAlign w:val="center"/>
          </w:tcPr>
          <w:p w14:paraId="0B666131">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设有专门的食堂或社会化方式提供专业的膳食服务，食堂布局合理、桌椅牢固、地面防滑，总餐位数与自理老年人总数相适应，膳食营养搭配合理科学。</w:t>
            </w:r>
          </w:p>
        </w:tc>
      </w:tr>
      <w:tr w14:paraId="38F8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77600F2A">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20</w:t>
            </w:r>
          </w:p>
        </w:tc>
        <w:tc>
          <w:tcPr>
            <w:tcW w:w="7828" w:type="dxa"/>
            <w:tcBorders>
              <w:right w:val="single" w:color="000000" w:sz="10" w:space="0"/>
            </w:tcBorders>
            <w:tcMar>
              <w:left w:w="108" w:type="dxa"/>
              <w:right w:w="108" w:type="dxa"/>
            </w:tcMar>
            <w:vAlign w:val="center"/>
          </w:tcPr>
          <w:p w14:paraId="644AC2AB">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设有公共洗涤场所，配有洗衣机、消毒设备等。</w:t>
            </w:r>
          </w:p>
        </w:tc>
      </w:tr>
      <w:tr w14:paraId="0343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4C1D28C9">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21</w:t>
            </w:r>
          </w:p>
        </w:tc>
        <w:tc>
          <w:tcPr>
            <w:tcW w:w="7828" w:type="dxa"/>
            <w:tcBorders>
              <w:right w:val="single" w:color="000000" w:sz="10" w:space="0"/>
            </w:tcBorders>
            <w:tcMar>
              <w:left w:w="108" w:type="dxa"/>
              <w:right w:w="108" w:type="dxa"/>
            </w:tcMar>
            <w:vAlign w:val="center"/>
          </w:tcPr>
          <w:p w14:paraId="05B18977">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配有安全可靠的供暖设施及空气调节设备。</w:t>
            </w:r>
          </w:p>
        </w:tc>
      </w:tr>
      <w:tr w14:paraId="2829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01" w:type="dxa"/>
            <w:gridSpan w:val="2"/>
            <w:tcBorders>
              <w:left w:val="single" w:color="000000" w:sz="10" w:space="0"/>
              <w:right w:val="single" w:color="000000" w:sz="10" w:space="0"/>
            </w:tcBorders>
            <w:tcMar>
              <w:left w:w="108" w:type="dxa"/>
              <w:right w:w="108" w:type="dxa"/>
            </w:tcMar>
            <w:vAlign w:val="center"/>
          </w:tcPr>
          <w:p w14:paraId="5A372A70">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楷体_GB2312" w:hAnsi="楷体_GB2312" w:eastAsia="楷体_GB2312" w:cs="楷体_GB2312"/>
                <w:strike w:val="0"/>
                <w:dstrike w:val="0"/>
                <w:color w:val="auto"/>
                <w:sz w:val="28"/>
                <w:szCs w:val="28"/>
                <w:highlight w:val="none"/>
              </w:rPr>
              <w:t>四、环境卫生</w:t>
            </w:r>
          </w:p>
        </w:tc>
      </w:tr>
      <w:tr w14:paraId="5B80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034A1535">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22</w:t>
            </w:r>
          </w:p>
        </w:tc>
        <w:tc>
          <w:tcPr>
            <w:tcW w:w="7828" w:type="dxa"/>
            <w:tcBorders>
              <w:right w:val="single" w:color="000000" w:sz="10" w:space="0"/>
            </w:tcBorders>
            <w:tcMar>
              <w:left w:w="108" w:type="dxa"/>
              <w:right w:w="108" w:type="dxa"/>
            </w:tcMar>
            <w:vAlign w:val="center"/>
          </w:tcPr>
          <w:p w14:paraId="36FCDEC3">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符合《老年人居住建筑设计规范》（GB50340-2016）、《老年人照料设施建筑设计标准》（JGJ450-2018）对环境设计要求。</w:t>
            </w:r>
          </w:p>
        </w:tc>
      </w:tr>
      <w:tr w14:paraId="478A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tcBorders>
            <w:tcMar>
              <w:left w:w="108" w:type="dxa"/>
              <w:right w:w="108" w:type="dxa"/>
            </w:tcMar>
            <w:vAlign w:val="center"/>
          </w:tcPr>
          <w:p w14:paraId="06DA83EF">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23</w:t>
            </w:r>
          </w:p>
        </w:tc>
        <w:tc>
          <w:tcPr>
            <w:tcW w:w="7828" w:type="dxa"/>
            <w:tcBorders>
              <w:right w:val="single" w:color="000000" w:sz="10" w:space="0"/>
            </w:tcBorders>
            <w:tcMar>
              <w:left w:w="108" w:type="dxa"/>
              <w:right w:w="108" w:type="dxa"/>
            </w:tcMar>
            <w:vAlign w:val="center"/>
          </w:tcPr>
          <w:p w14:paraId="33DFBC74">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室内环境优雅舒适，窗位布局合理，灯光照度柔和。</w:t>
            </w:r>
          </w:p>
        </w:tc>
      </w:tr>
      <w:tr w14:paraId="5193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24" w:hRule="atLeast"/>
        </w:trPr>
        <w:tc>
          <w:tcPr>
            <w:tcW w:w="873" w:type="dxa"/>
            <w:tcBorders>
              <w:left w:val="single" w:color="000000" w:sz="10" w:space="0"/>
              <w:bottom w:val="single" w:color="000000" w:sz="10" w:space="0"/>
            </w:tcBorders>
            <w:tcMar>
              <w:left w:w="108" w:type="dxa"/>
              <w:right w:w="108" w:type="dxa"/>
            </w:tcMar>
            <w:vAlign w:val="center"/>
          </w:tcPr>
          <w:p w14:paraId="79589676">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24</w:t>
            </w:r>
          </w:p>
        </w:tc>
        <w:tc>
          <w:tcPr>
            <w:tcW w:w="7828" w:type="dxa"/>
            <w:tcBorders>
              <w:bottom w:val="single" w:color="000000" w:sz="10" w:space="0"/>
              <w:right w:val="single" w:color="000000" w:sz="10" w:space="0"/>
            </w:tcBorders>
            <w:tcMar>
              <w:left w:w="108" w:type="dxa"/>
              <w:right w:w="108" w:type="dxa"/>
            </w:tcMar>
            <w:vAlign w:val="center"/>
          </w:tcPr>
          <w:p w14:paraId="1DBD7D2B">
            <w:pPr>
              <w:keepNext w:val="0"/>
              <w:keepLines w:val="0"/>
              <w:pageBreakBefore w:val="0"/>
              <w:widowControl w:val="0"/>
              <w:kinsoku/>
              <w:wordWrap/>
              <w:overflowPunct/>
              <w:topLinePunct/>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室内外活动场所应布置合理、清洁卫生，且定期进行消毒，保持空气畅通。</w:t>
            </w:r>
          </w:p>
        </w:tc>
      </w:tr>
      <w:tr w14:paraId="34FD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top w:val="single" w:color="000000" w:sz="10" w:space="0"/>
              <w:left w:val="single" w:color="000000" w:sz="10" w:space="0"/>
            </w:tcBorders>
            <w:tcMar>
              <w:left w:w="108" w:type="dxa"/>
              <w:right w:w="108" w:type="dxa"/>
            </w:tcMar>
            <w:vAlign w:val="center"/>
          </w:tcPr>
          <w:p w14:paraId="528C15BD">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序号</w:t>
            </w:r>
          </w:p>
        </w:tc>
        <w:tc>
          <w:tcPr>
            <w:tcW w:w="7828" w:type="dxa"/>
            <w:tcBorders>
              <w:top w:val="single" w:color="000000" w:sz="10" w:space="0"/>
              <w:right w:val="single" w:color="000000" w:sz="10" w:space="0"/>
            </w:tcBorders>
            <w:tcMar>
              <w:left w:w="108" w:type="dxa"/>
              <w:right w:w="108" w:type="dxa"/>
            </w:tcMar>
            <w:vAlign w:val="center"/>
          </w:tcPr>
          <w:p w14:paraId="6F6385C7">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指标</w:t>
            </w:r>
          </w:p>
        </w:tc>
      </w:tr>
      <w:tr w14:paraId="28CB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01" w:type="dxa"/>
            <w:gridSpan w:val="2"/>
            <w:tcBorders>
              <w:left w:val="single" w:color="000000" w:sz="10" w:space="0"/>
              <w:right w:val="single" w:color="000000" w:sz="10" w:space="0"/>
            </w:tcBorders>
            <w:tcMar>
              <w:left w:w="108" w:type="dxa"/>
              <w:right w:w="108" w:type="dxa"/>
            </w:tcMar>
            <w:vAlign w:val="center"/>
          </w:tcPr>
          <w:p w14:paraId="24D07F03">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楷体_GB2312" w:hAnsi="楷体_GB2312" w:eastAsia="楷体_GB2312" w:cs="楷体_GB2312"/>
                <w:strike w:val="0"/>
                <w:dstrike w:val="0"/>
                <w:color w:val="auto"/>
                <w:sz w:val="28"/>
                <w:szCs w:val="28"/>
                <w:highlight w:val="none"/>
              </w:rPr>
              <w:t>五、人员配置</w:t>
            </w:r>
          </w:p>
        </w:tc>
      </w:tr>
      <w:tr w14:paraId="4C01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59" w:hRule="exact"/>
        </w:trPr>
        <w:tc>
          <w:tcPr>
            <w:tcW w:w="873" w:type="dxa"/>
            <w:tcBorders>
              <w:left w:val="single" w:color="000000" w:sz="10" w:space="0"/>
            </w:tcBorders>
            <w:tcMar>
              <w:left w:w="108" w:type="dxa"/>
              <w:right w:w="108" w:type="dxa"/>
            </w:tcMar>
            <w:vAlign w:val="center"/>
          </w:tcPr>
          <w:p w14:paraId="55F85D9E">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25</w:t>
            </w:r>
          </w:p>
        </w:tc>
        <w:tc>
          <w:tcPr>
            <w:tcW w:w="7828" w:type="dxa"/>
            <w:tcBorders>
              <w:right w:val="single" w:color="000000" w:sz="10" w:space="0"/>
            </w:tcBorders>
            <w:tcMar>
              <w:left w:w="108" w:type="dxa"/>
              <w:right w:w="108" w:type="dxa"/>
            </w:tcMar>
            <w:vAlign w:val="center"/>
          </w:tcPr>
          <w:p w14:paraId="0B355BD4">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按照规定和需求配备相应数量的卫生专业技术人员和养老服务资质人员。医疗、护理、康复、社工等相关服务人员应持有国家认可的资格证书，餐饮工作人员应持有A类健康证。工作人员应当身心健康，具备与工作岗位相适应的文化水平和专业技能。</w:t>
            </w:r>
          </w:p>
        </w:tc>
      </w:tr>
      <w:tr w14:paraId="1756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7ACA4890">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26</w:t>
            </w:r>
          </w:p>
        </w:tc>
        <w:tc>
          <w:tcPr>
            <w:tcW w:w="7828" w:type="dxa"/>
            <w:tcBorders>
              <w:right w:val="single" w:color="000000" w:sz="10" w:space="0"/>
            </w:tcBorders>
            <w:tcMar>
              <w:left w:w="108" w:type="dxa"/>
              <w:right w:w="108" w:type="dxa"/>
            </w:tcMar>
            <w:vAlign w:val="center"/>
          </w:tcPr>
          <w:p w14:paraId="1D2B9D11">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每床配置的医生、护士比例符合所办医疗机构类别规定的比例要求。</w:t>
            </w:r>
          </w:p>
        </w:tc>
      </w:tr>
      <w:tr w14:paraId="52C1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05298E5D">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27</w:t>
            </w:r>
          </w:p>
        </w:tc>
        <w:tc>
          <w:tcPr>
            <w:tcW w:w="7828" w:type="dxa"/>
            <w:tcBorders>
              <w:right w:val="single" w:color="000000" w:sz="10" w:space="0"/>
            </w:tcBorders>
            <w:tcMar>
              <w:left w:w="108" w:type="dxa"/>
              <w:right w:w="108" w:type="dxa"/>
            </w:tcMar>
            <w:vAlign w:val="center"/>
          </w:tcPr>
          <w:p w14:paraId="14402F3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护理员与自理老人、半失能老人和失能老人的比例分别不低于1:15、1:6、1:3。护理员岗前培训率100%，持证上岗率100%。</w:t>
            </w:r>
          </w:p>
        </w:tc>
      </w:tr>
      <w:tr w14:paraId="36DB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4710E441">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28</w:t>
            </w:r>
          </w:p>
        </w:tc>
        <w:tc>
          <w:tcPr>
            <w:tcW w:w="7828" w:type="dxa"/>
            <w:tcBorders>
              <w:right w:val="single" w:color="000000" w:sz="10" w:space="0"/>
            </w:tcBorders>
            <w:tcMar>
              <w:left w:w="108" w:type="dxa"/>
              <w:right w:w="108" w:type="dxa"/>
            </w:tcMar>
            <w:vAlign w:val="center"/>
          </w:tcPr>
          <w:p w14:paraId="55BA571E">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配备中医药服务人员，能够提供中医健康评估、中医药康复指导等服务。</w:t>
            </w:r>
          </w:p>
        </w:tc>
      </w:tr>
      <w:tr w14:paraId="5999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4C67B604">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29</w:t>
            </w:r>
          </w:p>
        </w:tc>
        <w:tc>
          <w:tcPr>
            <w:tcW w:w="7828" w:type="dxa"/>
            <w:tcBorders>
              <w:right w:val="single" w:color="000000" w:sz="10" w:space="0"/>
            </w:tcBorders>
            <w:tcMar>
              <w:left w:w="108" w:type="dxa"/>
              <w:right w:w="108" w:type="dxa"/>
            </w:tcMar>
            <w:vAlign w:val="center"/>
          </w:tcPr>
          <w:p w14:paraId="7FDD4CEB">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定期对管理人员、医护人员、养老护理人员开展岗位培训。</w:t>
            </w:r>
          </w:p>
        </w:tc>
      </w:tr>
      <w:tr w14:paraId="061B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01" w:type="dxa"/>
            <w:gridSpan w:val="2"/>
            <w:tcBorders>
              <w:left w:val="single" w:color="000000" w:sz="10" w:space="0"/>
              <w:right w:val="single" w:color="000000" w:sz="10" w:space="0"/>
            </w:tcBorders>
            <w:tcMar>
              <w:left w:w="108" w:type="dxa"/>
              <w:right w:w="108" w:type="dxa"/>
            </w:tcMar>
            <w:vAlign w:val="center"/>
          </w:tcPr>
          <w:p w14:paraId="2578ED51">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楷体_GB2312" w:hAnsi="楷体_GB2312" w:eastAsia="楷体_GB2312" w:cs="楷体_GB2312"/>
                <w:strike w:val="0"/>
                <w:dstrike w:val="0"/>
                <w:color w:val="auto"/>
                <w:sz w:val="28"/>
                <w:szCs w:val="28"/>
                <w:highlight w:val="none"/>
              </w:rPr>
              <w:t>六、服务内容</w:t>
            </w:r>
          </w:p>
        </w:tc>
      </w:tr>
      <w:tr w14:paraId="2E24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2FE33E11">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30</w:t>
            </w:r>
          </w:p>
        </w:tc>
        <w:tc>
          <w:tcPr>
            <w:tcW w:w="7828" w:type="dxa"/>
            <w:tcBorders>
              <w:right w:val="single" w:color="000000" w:sz="10" w:space="0"/>
            </w:tcBorders>
            <w:tcMar>
              <w:left w:w="108" w:type="dxa"/>
              <w:right w:w="108" w:type="dxa"/>
            </w:tcMar>
            <w:vAlign w:val="center"/>
          </w:tcPr>
          <w:p w14:paraId="254779B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提供常见病诊疗、慢性病管理、急诊处置等基础医疗服务，开展老年人家庭医生签约服务，为符合条件的老年人提供长期处方服务。</w:t>
            </w:r>
          </w:p>
        </w:tc>
      </w:tr>
      <w:tr w14:paraId="6597E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046" w:hRule="exact"/>
        </w:trPr>
        <w:tc>
          <w:tcPr>
            <w:tcW w:w="873" w:type="dxa"/>
            <w:tcBorders>
              <w:left w:val="single" w:color="000000" w:sz="10" w:space="0"/>
            </w:tcBorders>
            <w:tcMar>
              <w:left w:w="108" w:type="dxa"/>
              <w:right w:w="108" w:type="dxa"/>
            </w:tcMar>
            <w:vAlign w:val="center"/>
          </w:tcPr>
          <w:p w14:paraId="0F30F94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31</w:t>
            </w:r>
          </w:p>
        </w:tc>
        <w:tc>
          <w:tcPr>
            <w:tcW w:w="7828" w:type="dxa"/>
            <w:tcBorders>
              <w:right w:val="single" w:color="000000" w:sz="10" w:space="0"/>
            </w:tcBorders>
            <w:tcMar>
              <w:left w:w="108" w:type="dxa"/>
              <w:right w:w="108" w:type="dxa"/>
            </w:tcMar>
            <w:vAlign w:val="center"/>
          </w:tcPr>
          <w:p w14:paraId="2197BFB9">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开展老年人健康管理服务，包括年度健康体检、健康评估及慢性病防控指导，每年为在住老人提供至少2次专项健康服务，制定针对性的健康管理方案。</w:t>
            </w:r>
          </w:p>
        </w:tc>
      </w:tr>
      <w:tr w14:paraId="4A93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074" w:hRule="exact"/>
        </w:trPr>
        <w:tc>
          <w:tcPr>
            <w:tcW w:w="873" w:type="dxa"/>
            <w:tcBorders>
              <w:left w:val="single" w:color="000000" w:sz="10" w:space="0"/>
            </w:tcBorders>
            <w:tcMar>
              <w:left w:w="108" w:type="dxa"/>
              <w:right w:w="108" w:type="dxa"/>
            </w:tcMar>
            <w:vAlign w:val="center"/>
          </w:tcPr>
          <w:p w14:paraId="51B1F1E9">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32</w:t>
            </w:r>
          </w:p>
        </w:tc>
        <w:tc>
          <w:tcPr>
            <w:tcW w:w="7828" w:type="dxa"/>
            <w:tcBorders>
              <w:right w:val="single" w:color="000000" w:sz="10" w:space="0"/>
            </w:tcBorders>
            <w:tcMar>
              <w:left w:w="108" w:type="dxa"/>
              <w:right w:w="108" w:type="dxa"/>
            </w:tcMar>
            <w:vAlign w:val="center"/>
          </w:tcPr>
          <w:p w14:paraId="0E34797B">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建立规范的病历及健康档案管理制度，实现医疗、养老、康复信息互联互通；开通老年人就医及急救绿色通道，与二级及以上综合医院建立“双向转诊”机制。</w:t>
            </w:r>
          </w:p>
        </w:tc>
      </w:tr>
      <w:tr w14:paraId="6E47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01B544D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33</w:t>
            </w:r>
          </w:p>
        </w:tc>
        <w:tc>
          <w:tcPr>
            <w:tcW w:w="7828" w:type="dxa"/>
            <w:tcBorders>
              <w:right w:val="single" w:color="000000" w:sz="10" w:space="0"/>
            </w:tcBorders>
            <w:tcMar>
              <w:left w:w="108" w:type="dxa"/>
              <w:right w:w="108" w:type="dxa"/>
            </w:tcMar>
            <w:vAlign w:val="center"/>
          </w:tcPr>
          <w:p w14:paraId="5D6A5F3C">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建立老年人能力评估制度，包括入院评估、定期评估、即时评估，视情提供个性化的分级护理服务，老年人能力评估执行率100%。</w:t>
            </w:r>
          </w:p>
        </w:tc>
      </w:tr>
      <w:tr w14:paraId="538B5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1CFB9929">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34</w:t>
            </w:r>
          </w:p>
        </w:tc>
        <w:tc>
          <w:tcPr>
            <w:tcW w:w="7828" w:type="dxa"/>
            <w:tcBorders>
              <w:right w:val="single" w:color="000000" w:sz="10" w:space="0"/>
            </w:tcBorders>
            <w:tcMar>
              <w:left w:w="108" w:type="dxa"/>
              <w:right w:w="108" w:type="dxa"/>
            </w:tcMar>
            <w:vAlign w:val="center"/>
          </w:tcPr>
          <w:p w14:paraId="7C6A7E9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开设健康讲堂及相关服务，开展老年人健康知识宣传，为老年人提供心理咨询、健康指导及日常的心理卫生教育。</w:t>
            </w:r>
          </w:p>
        </w:tc>
      </w:tr>
      <w:tr w14:paraId="486F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tcBorders>
            <w:tcMar>
              <w:left w:w="108" w:type="dxa"/>
              <w:right w:w="108" w:type="dxa"/>
            </w:tcMar>
            <w:vAlign w:val="center"/>
          </w:tcPr>
          <w:p w14:paraId="414E799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35</w:t>
            </w:r>
          </w:p>
        </w:tc>
        <w:tc>
          <w:tcPr>
            <w:tcW w:w="7828" w:type="dxa"/>
            <w:tcBorders>
              <w:right w:val="single" w:color="000000" w:sz="10" w:space="0"/>
            </w:tcBorders>
            <w:tcMar>
              <w:left w:w="108" w:type="dxa"/>
              <w:right w:w="108" w:type="dxa"/>
            </w:tcMar>
            <w:vAlign w:val="center"/>
          </w:tcPr>
          <w:p w14:paraId="641E3EEF">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提供安宁疗护服务，普及生命教育和安宁疗护知识。</w:t>
            </w:r>
          </w:p>
        </w:tc>
      </w:tr>
      <w:tr w14:paraId="4A1CC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94" w:hRule="exact"/>
        </w:trPr>
        <w:tc>
          <w:tcPr>
            <w:tcW w:w="873" w:type="dxa"/>
            <w:tcBorders>
              <w:left w:val="single" w:color="000000" w:sz="10" w:space="0"/>
              <w:bottom w:val="single" w:color="000000" w:sz="10" w:space="0"/>
            </w:tcBorders>
            <w:tcMar>
              <w:left w:w="108" w:type="dxa"/>
              <w:right w:w="108" w:type="dxa"/>
            </w:tcMar>
            <w:vAlign w:val="center"/>
          </w:tcPr>
          <w:p w14:paraId="3F0DD052">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36</w:t>
            </w:r>
          </w:p>
        </w:tc>
        <w:tc>
          <w:tcPr>
            <w:tcW w:w="7828" w:type="dxa"/>
            <w:tcBorders>
              <w:bottom w:val="single" w:color="000000" w:sz="10" w:space="0"/>
              <w:right w:val="single" w:color="000000" w:sz="10" w:space="0"/>
            </w:tcBorders>
            <w:tcMar>
              <w:left w:w="108" w:type="dxa"/>
              <w:right w:w="108" w:type="dxa"/>
            </w:tcMar>
            <w:vAlign w:val="top"/>
          </w:tcPr>
          <w:p w14:paraId="1964E04B">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设立治未病科或中医科（馆），开展中医诊疗、中医治未病、中医药养生保健、中医药理疗康复服务，普及中医药养生保健知识。</w:t>
            </w:r>
          </w:p>
        </w:tc>
      </w:tr>
    </w:tbl>
    <w:p w14:paraId="3A51657E">
      <w:pPr>
        <w:keepNext w:val="0"/>
        <w:keepLines w:val="0"/>
        <w:pageBreakBefore w:val="0"/>
        <w:widowControl w:val="0"/>
        <w:kinsoku/>
        <w:wordWrap/>
        <w:overflowPunct/>
        <w:topLinePunct/>
        <w:autoSpaceDE w:val="0"/>
        <w:autoSpaceDN w:val="0"/>
        <w:bidi w:val="0"/>
        <w:adjustRightInd w:val="0"/>
        <w:snapToGrid w:val="0"/>
        <w:spacing w:line="50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p>
    <w:tbl>
      <w:tblPr>
        <w:tblStyle w:val="12"/>
        <w:tblW w:w="866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
        <w:gridCol w:w="847"/>
        <w:gridCol w:w="19"/>
        <w:gridCol w:w="7739"/>
        <w:gridCol w:w="19"/>
      </w:tblGrid>
      <w:tr w14:paraId="112E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18" w:hRule="atLeast"/>
        </w:trPr>
        <w:tc>
          <w:tcPr>
            <w:tcW w:w="866" w:type="dxa"/>
            <w:gridSpan w:val="2"/>
            <w:tcBorders>
              <w:top w:val="single" w:color="000000" w:sz="10" w:space="0"/>
              <w:left w:val="single" w:color="000000" w:sz="10" w:space="0"/>
            </w:tcBorders>
            <w:vAlign w:val="center"/>
          </w:tcPr>
          <w:p w14:paraId="21547EDD">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序号</w:t>
            </w:r>
          </w:p>
        </w:tc>
        <w:tc>
          <w:tcPr>
            <w:tcW w:w="7758" w:type="dxa"/>
            <w:gridSpan w:val="2"/>
            <w:tcBorders>
              <w:top w:val="single" w:color="000000" w:sz="10" w:space="0"/>
              <w:right w:val="single" w:color="000000" w:sz="10" w:space="0"/>
            </w:tcBorders>
            <w:vAlign w:val="center"/>
          </w:tcPr>
          <w:p w14:paraId="4A7FA101">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指标</w:t>
            </w:r>
          </w:p>
        </w:tc>
      </w:tr>
      <w:tr w14:paraId="7F83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24" w:type="dxa"/>
            <w:gridSpan w:val="4"/>
            <w:tcBorders>
              <w:left w:val="single" w:color="000000" w:sz="10" w:space="0"/>
              <w:right w:val="single" w:color="000000" w:sz="10" w:space="0"/>
            </w:tcBorders>
            <w:vAlign w:val="center"/>
          </w:tcPr>
          <w:p w14:paraId="03AEC933">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楷体_GB2312" w:hAnsi="楷体_GB2312" w:eastAsia="楷体_GB2312" w:cs="楷体_GB2312"/>
                <w:strike w:val="0"/>
                <w:dstrike w:val="0"/>
                <w:color w:val="auto"/>
                <w:sz w:val="28"/>
                <w:szCs w:val="28"/>
                <w:highlight w:val="none"/>
              </w:rPr>
              <w:t>七、养老服务</w:t>
            </w:r>
          </w:p>
        </w:tc>
      </w:tr>
      <w:tr w14:paraId="11817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1386" w:hRule="atLeast"/>
        </w:trPr>
        <w:tc>
          <w:tcPr>
            <w:tcW w:w="866" w:type="dxa"/>
            <w:gridSpan w:val="2"/>
            <w:tcBorders>
              <w:left w:val="single" w:color="000000" w:sz="10" w:space="0"/>
            </w:tcBorders>
            <w:vAlign w:val="center"/>
          </w:tcPr>
          <w:p w14:paraId="18906F0F">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37</w:t>
            </w:r>
          </w:p>
        </w:tc>
        <w:tc>
          <w:tcPr>
            <w:tcW w:w="7758" w:type="dxa"/>
            <w:gridSpan w:val="2"/>
            <w:tcBorders>
              <w:right w:val="single" w:color="000000" w:sz="10" w:space="0"/>
            </w:tcBorders>
            <w:vAlign w:val="top"/>
          </w:tcPr>
          <w:p w14:paraId="13D9750A">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符合《养老机构服务质量基本规范》（GB/T35796-2017）相关要求，提供日常起居照料、助餐、助洁、助浴、休闲娱乐等服务，达到《养老机构等级划分与评定》（GB/T37276-2018）二星级以上标准。</w:t>
            </w:r>
          </w:p>
        </w:tc>
      </w:tr>
      <w:tr w14:paraId="0448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5363B67A">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38</w:t>
            </w:r>
          </w:p>
        </w:tc>
        <w:tc>
          <w:tcPr>
            <w:tcW w:w="7758" w:type="dxa"/>
            <w:gridSpan w:val="2"/>
            <w:tcBorders>
              <w:right w:val="single" w:color="000000" w:sz="10" w:space="0"/>
            </w:tcBorders>
            <w:vAlign w:val="top"/>
          </w:tcPr>
          <w:p w14:paraId="74878C8D">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与入住老年人或其代理人依法签订养老服务合同，明确各方的权利和义务。</w:t>
            </w:r>
          </w:p>
        </w:tc>
      </w:tr>
      <w:tr w14:paraId="05D8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44AE717B">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39</w:t>
            </w:r>
          </w:p>
        </w:tc>
        <w:tc>
          <w:tcPr>
            <w:tcW w:w="7758" w:type="dxa"/>
            <w:gridSpan w:val="2"/>
            <w:tcBorders>
              <w:right w:val="single" w:color="000000" w:sz="10" w:space="0"/>
            </w:tcBorders>
            <w:vAlign w:val="top"/>
          </w:tcPr>
          <w:p w14:paraId="4AD10E17">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提供符合食品安全要求和民族风俗习惯且适宜老年人食用的膳食。</w:t>
            </w:r>
          </w:p>
        </w:tc>
      </w:tr>
      <w:tr w14:paraId="2954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119F741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40</w:t>
            </w:r>
          </w:p>
        </w:tc>
        <w:tc>
          <w:tcPr>
            <w:tcW w:w="7758" w:type="dxa"/>
            <w:gridSpan w:val="2"/>
            <w:tcBorders>
              <w:right w:val="single" w:color="000000" w:sz="10" w:space="0"/>
            </w:tcBorders>
            <w:vAlign w:val="top"/>
          </w:tcPr>
          <w:p w14:paraId="28FB0111">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落实夜间值班制度，做好老年人夜间监护工作。</w:t>
            </w:r>
          </w:p>
        </w:tc>
      </w:tr>
      <w:tr w14:paraId="08DD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24" w:type="dxa"/>
            <w:gridSpan w:val="4"/>
            <w:tcBorders>
              <w:left w:val="single" w:color="000000" w:sz="10" w:space="0"/>
              <w:right w:val="single" w:color="000000" w:sz="10" w:space="0"/>
            </w:tcBorders>
            <w:vAlign w:val="center"/>
          </w:tcPr>
          <w:p w14:paraId="2BB22417">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八、组织管理</w:t>
            </w:r>
          </w:p>
        </w:tc>
      </w:tr>
      <w:tr w14:paraId="4CDD2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1D561DDA">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41</w:t>
            </w:r>
          </w:p>
        </w:tc>
        <w:tc>
          <w:tcPr>
            <w:tcW w:w="7758" w:type="dxa"/>
            <w:gridSpan w:val="2"/>
            <w:tcBorders>
              <w:right w:val="single" w:color="000000" w:sz="10" w:space="0"/>
            </w:tcBorders>
            <w:vAlign w:val="top"/>
          </w:tcPr>
          <w:p w14:paraId="2C4E066F">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医养结合工作体系与领导机制完善，工作制度健全，有专项经费保障。</w:t>
            </w:r>
          </w:p>
        </w:tc>
      </w:tr>
      <w:tr w14:paraId="7EC2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900" w:hRule="atLeast"/>
        </w:trPr>
        <w:tc>
          <w:tcPr>
            <w:tcW w:w="866" w:type="dxa"/>
            <w:gridSpan w:val="2"/>
            <w:tcBorders>
              <w:left w:val="single" w:color="000000" w:sz="10" w:space="0"/>
            </w:tcBorders>
            <w:vAlign w:val="center"/>
          </w:tcPr>
          <w:p w14:paraId="693B761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42</w:t>
            </w:r>
          </w:p>
        </w:tc>
        <w:tc>
          <w:tcPr>
            <w:tcW w:w="7758" w:type="dxa"/>
            <w:gridSpan w:val="2"/>
            <w:tcBorders>
              <w:right w:val="single" w:color="000000" w:sz="10" w:space="0"/>
            </w:tcBorders>
            <w:vAlign w:val="top"/>
          </w:tcPr>
          <w:p w14:paraId="33C8AB89">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人才队伍建设科学合理，从事医养结合服务的专业技术人员享有与单位其他专业技术人员同等的执业注册、职称评定、岗位聘用待遇。</w:t>
            </w:r>
          </w:p>
        </w:tc>
      </w:tr>
      <w:tr w14:paraId="2BE1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900" w:hRule="atLeast"/>
        </w:trPr>
        <w:tc>
          <w:tcPr>
            <w:tcW w:w="866" w:type="dxa"/>
            <w:gridSpan w:val="2"/>
            <w:tcBorders>
              <w:left w:val="single" w:color="000000" w:sz="10" w:space="0"/>
            </w:tcBorders>
            <w:vAlign w:val="center"/>
          </w:tcPr>
          <w:p w14:paraId="585D920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43</w:t>
            </w:r>
          </w:p>
        </w:tc>
        <w:tc>
          <w:tcPr>
            <w:tcW w:w="7758" w:type="dxa"/>
            <w:gridSpan w:val="2"/>
            <w:tcBorders>
              <w:right w:val="single" w:color="000000" w:sz="10" w:space="0"/>
            </w:tcBorders>
            <w:vAlign w:val="top"/>
          </w:tcPr>
          <w:p w14:paraId="6BD40EB5">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信息化建设精准高效，医疗卫生与养老服务信息实现一站式管理，信息报送及时准确。</w:t>
            </w:r>
          </w:p>
        </w:tc>
      </w:tr>
      <w:tr w14:paraId="491A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54ED0DD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44</w:t>
            </w:r>
          </w:p>
        </w:tc>
        <w:tc>
          <w:tcPr>
            <w:tcW w:w="7758" w:type="dxa"/>
            <w:gridSpan w:val="2"/>
            <w:tcBorders>
              <w:right w:val="single" w:color="000000" w:sz="10" w:space="0"/>
            </w:tcBorders>
            <w:vAlign w:val="top"/>
          </w:tcPr>
          <w:p w14:paraId="1F86E33E">
            <w:pPr>
              <w:keepNext w:val="0"/>
              <w:keepLines w:val="0"/>
              <w:pageBreakBefore w:val="0"/>
              <w:widowControl w:val="0"/>
              <w:kinsoku/>
              <w:wordWrap/>
              <w:overflowPunct/>
              <w:topLinePunct/>
              <w:autoSpaceDE w:val="0"/>
              <w:autoSpaceDN w:val="0"/>
              <w:bidi w:val="0"/>
              <w:adjustRightInd w:val="0"/>
              <w:snapToGrid w:val="0"/>
              <w:spacing w:line="340" w:lineRule="exact"/>
              <w:ind w:left="0" w:right="0"/>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拥有医养结合志愿服务队伍，志愿服务活动多样化、常态化、规范化。</w:t>
            </w:r>
          </w:p>
        </w:tc>
      </w:tr>
      <w:tr w14:paraId="67C4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24" w:type="dxa"/>
            <w:gridSpan w:val="4"/>
            <w:tcBorders>
              <w:left w:val="single" w:color="000000" w:sz="10" w:space="0"/>
              <w:right w:val="single" w:color="000000" w:sz="10" w:space="0"/>
            </w:tcBorders>
            <w:vAlign w:val="center"/>
          </w:tcPr>
          <w:p w14:paraId="4A9307A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九、安全管理</w:t>
            </w:r>
          </w:p>
        </w:tc>
      </w:tr>
      <w:tr w14:paraId="5910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900" w:hRule="atLeast"/>
        </w:trPr>
        <w:tc>
          <w:tcPr>
            <w:tcW w:w="866" w:type="dxa"/>
            <w:gridSpan w:val="2"/>
            <w:tcBorders>
              <w:left w:val="single" w:color="000000" w:sz="10" w:space="0"/>
            </w:tcBorders>
            <w:vAlign w:val="center"/>
          </w:tcPr>
          <w:p w14:paraId="324EC893">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45</w:t>
            </w:r>
          </w:p>
        </w:tc>
        <w:tc>
          <w:tcPr>
            <w:tcW w:w="7758" w:type="dxa"/>
            <w:gridSpan w:val="2"/>
            <w:tcBorders>
              <w:right w:val="single" w:color="000000" w:sz="10" w:space="0"/>
            </w:tcBorders>
            <w:vAlign w:val="center"/>
          </w:tcPr>
          <w:p w14:paraId="180F7D9E">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安全管理制度完善，严格执行消防安全、医疗安全、食品安全等相关规定，确保不发生重大生产安全事故。</w:t>
            </w:r>
          </w:p>
        </w:tc>
      </w:tr>
      <w:tr w14:paraId="7A25E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4157A4E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46</w:t>
            </w:r>
          </w:p>
        </w:tc>
        <w:tc>
          <w:tcPr>
            <w:tcW w:w="7758" w:type="dxa"/>
            <w:gridSpan w:val="2"/>
            <w:tcBorders>
              <w:right w:val="single" w:color="000000" w:sz="10" w:space="0"/>
            </w:tcBorders>
            <w:vAlign w:val="center"/>
          </w:tcPr>
          <w:p w14:paraId="6338208D">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有突发传染病应急处置、老年突发事件应急处置等危机处理预案。</w:t>
            </w:r>
          </w:p>
        </w:tc>
      </w:tr>
      <w:tr w14:paraId="13AFD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900" w:hRule="atLeast"/>
        </w:trPr>
        <w:tc>
          <w:tcPr>
            <w:tcW w:w="866" w:type="dxa"/>
            <w:gridSpan w:val="2"/>
            <w:tcBorders>
              <w:left w:val="single" w:color="000000" w:sz="10" w:space="0"/>
            </w:tcBorders>
            <w:vAlign w:val="center"/>
          </w:tcPr>
          <w:p w14:paraId="59AC526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47</w:t>
            </w:r>
          </w:p>
        </w:tc>
        <w:tc>
          <w:tcPr>
            <w:tcW w:w="7758" w:type="dxa"/>
            <w:gridSpan w:val="2"/>
            <w:tcBorders>
              <w:right w:val="single" w:color="000000" w:sz="10" w:space="0"/>
            </w:tcBorders>
            <w:vAlign w:val="center"/>
          </w:tcPr>
          <w:p w14:paraId="711E234F">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杜绝发生因管理不善或护理不当造成的人员伤亡事件，杜绝发生虐老、欺老事件。</w:t>
            </w:r>
          </w:p>
        </w:tc>
      </w:tr>
      <w:tr w14:paraId="0E9F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24" w:type="dxa"/>
            <w:gridSpan w:val="4"/>
            <w:tcBorders>
              <w:left w:val="single" w:color="000000" w:sz="10" w:space="0"/>
              <w:right w:val="single" w:color="000000" w:sz="10" w:space="0"/>
            </w:tcBorders>
            <w:vAlign w:val="center"/>
          </w:tcPr>
          <w:p w14:paraId="7A4DC6C4">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十、质量管理</w:t>
            </w:r>
          </w:p>
        </w:tc>
      </w:tr>
      <w:tr w14:paraId="7599E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61" w:hRule="atLeast"/>
        </w:trPr>
        <w:tc>
          <w:tcPr>
            <w:tcW w:w="866" w:type="dxa"/>
            <w:gridSpan w:val="2"/>
            <w:tcBorders>
              <w:left w:val="single" w:color="000000" w:sz="10" w:space="0"/>
            </w:tcBorders>
            <w:vAlign w:val="center"/>
          </w:tcPr>
          <w:p w14:paraId="026F574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48</w:t>
            </w:r>
          </w:p>
        </w:tc>
        <w:tc>
          <w:tcPr>
            <w:tcW w:w="7758" w:type="dxa"/>
            <w:gridSpan w:val="2"/>
            <w:tcBorders>
              <w:right w:val="single" w:color="000000" w:sz="10" w:space="0"/>
            </w:tcBorders>
            <w:vAlign w:val="center"/>
          </w:tcPr>
          <w:p w14:paraId="5DA5E750">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全面落实医疗质量核心制度，技术操作和检查程序符合规范要求。</w:t>
            </w:r>
          </w:p>
        </w:tc>
      </w:tr>
      <w:tr w14:paraId="4832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1" w:type="dxa"/>
          <w:trHeight w:val="582" w:hRule="atLeast"/>
        </w:trPr>
        <w:tc>
          <w:tcPr>
            <w:tcW w:w="866" w:type="dxa"/>
            <w:gridSpan w:val="2"/>
            <w:tcBorders>
              <w:left w:val="single" w:color="000000" w:sz="10" w:space="0"/>
              <w:bottom w:val="single" w:color="000000" w:sz="10" w:space="0"/>
            </w:tcBorders>
            <w:vAlign w:val="center"/>
          </w:tcPr>
          <w:p w14:paraId="7C1612FB">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49</w:t>
            </w:r>
          </w:p>
        </w:tc>
        <w:tc>
          <w:tcPr>
            <w:tcW w:w="7758" w:type="dxa"/>
            <w:gridSpan w:val="2"/>
            <w:tcBorders>
              <w:bottom w:val="single" w:color="000000" w:sz="10" w:space="0"/>
              <w:right w:val="single" w:color="000000" w:sz="10" w:space="0"/>
            </w:tcBorders>
            <w:vAlign w:val="center"/>
          </w:tcPr>
          <w:p w14:paraId="1579B184">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落实老年人医疗服务优待政策，服务流程规范合理。</w:t>
            </w:r>
          </w:p>
        </w:tc>
      </w:tr>
      <w:tr w14:paraId="6C67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18" w:hRule="atLeast"/>
        </w:trPr>
        <w:tc>
          <w:tcPr>
            <w:tcW w:w="888" w:type="dxa"/>
            <w:gridSpan w:val="2"/>
            <w:tcBorders>
              <w:top w:val="single" w:color="000000" w:sz="10" w:space="0"/>
              <w:left w:val="single" w:color="000000" w:sz="10" w:space="0"/>
            </w:tcBorders>
            <w:vAlign w:val="center"/>
          </w:tcPr>
          <w:p w14:paraId="14A40F3E">
            <w:pPr>
              <w:keepNext w:val="0"/>
              <w:keepLines w:val="0"/>
              <w:pageBreakBefore w:val="0"/>
              <w:widowControl w:val="0"/>
              <w:kinsoku/>
              <w:wordWrap/>
              <w:overflowPunct/>
              <w:topLinePunct/>
              <w:autoSpaceDE w:val="0"/>
              <w:autoSpaceDN w:val="0"/>
              <w:bidi w:val="0"/>
              <w:adjustRightInd w:val="0"/>
              <w:snapToGrid w:val="0"/>
              <w:spacing w:line="50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序号</w:t>
            </w:r>
          </w:p>
        </w:tc>
        <w:tc>
          <w:tcPr>
            <w:tcW w:w="7758" w:type="dxa"/>
            <w:gridSpan w:val="2"/>
            <w:tcBorders>
              <w:top w:val="single" w:color="000000" w:sz="10" w:space="0"/>
              <w:right w:val="single" w:color="000000" w:sz="10" w:space="0"/>
            </w:tcBorders>
            <w:vAlign w:val="top"/>
          </w:tcPr>
          <w:p w14:paraId="1CC9C820">
            <w:pPr>
              <w:keepNext w:val="0"/>
              <w:keepLines w:val="0"/>
              <w:pageBreakBefore w:val="0"/>
              <w:widowControl w:val="0"/>
              <w:kinsoku/>
              <w:wordWrap/>
              <w:overflowPunct/>
              <w:topLinePunct/>
              <w:autoSpaceDE w:val="0"/>
              <w:autoSpaceDN w:val="0"/>
              <w:bidi w:val="0"/>
              <w:adjustRightInd w:val="0"/>
              <w:snapToGrid w:val="0"/>
              <w:spacing w:line="500" w:lineRule="exact"/>
              <w:ind w:left="0" w:right="0"/>
              <w:jc w:val="center"/>
              <w:textAlignment w:val="baseline"/>
              <w:rPr>
                <w:rFonts w:hint="eastAsia" w:ascii="黑体" w:hAnsi="黑体" w:eastAsia="黑体" w:cs="黑体"/>
                <w:strike w:val="0"/>
                <w:dstrike w:val="0"/>
                <w:color w:val="auto"/>
                <w:spacing w:val="-5"/>
                <w:sz w:val="28"/>
                <w:szCs w:val="28"/>
                <w:highlight w:val="none"/>
              </w:rPr>
            </w:pPr>
            <w:r>
              <w:rPr>
                <w:rFonts w:hint="eastAsia" w:ascii="黑体" w:hAnsi="黑体" w:eastAsia="黑体" w:cs="黑体"/>
                <w:strike w:val="0"/>
                <w:dstrike w:val="0"/>
                <w:color w:val="auto"/>
                <w:spacing w:val="-5"/>
                <w:sz w:val="28"/>
                <w:szCs w:val="28"/>
                <w:highlight w:val="none"/>
              </w:rPr>
              <w:t>指标</w:t>
            </w:r>
          </w:p>
        </w:tc>
      </w:tr>
      <w:tr w14:paraId="08211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898" w:hRule="atLeast"/>
        </w:trPr>
        <w:tc>
          <w:tcPr>
            <w:tcW w:w="888" w:type="dxa"/>
            <w:gridSpan w:val="2"/>
            <w:tcBorders>
              <w:left w:val="single" w:color="000000" w:sz="10" w:space="0"/>
            </w:tcBorders>
            <w:vAlign w:val="center"/>
          </w:tcPr>
          <w:p w14:paraId="29583E03">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50</w:t>
            </w:r>
          </w:p>
        </w:tc>
        <w:tc>
          <w:tcPr>
            <w:tcW w:w="7758" w:type="dxa"/>
            <w:gridSpan w:val="2"/>
            <w:tcBorders>
              <w:right w:val="single" w:color="000000" w:sz="10" w:space="0"/>
            </w:tcBorders>
            <w:vAlign w:val="center"/>
          </w:tcPr>
          <w:p w14:paraId="1A3A9DE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宋体" w:hAnsi="宋体" w:eastAsia="宋体" w:cs="宋体"/>
                <w:strike w:val="0"/>
                <w:dstrike w:val="0"/>
                <w:color w:val="auto"/>
                <w:sz w:val="21"/>
                <w:szCs w:val="21"/>
                <w:highlight w:val="none"/>
              </w:rPr>
            </w:pPr>
            <w:r>
              <w:rPr>
                <w:rFonts w:hint="eastAsia" w:ascii="仿宋_GB2312" w:hAnsi="仿宋_GB2312" w:eastAsia="仿宋_GB2312" w:cs="仿宋_GB2312"/>
                <w:strike w:val="0"/>
                <w:dstrike w:val="0"/>
                <w:color w:val="auto"/>
                <w:spacing w:val="-11"/>
                <w:sz w:val="28"/>
                <w:szCs w:val="28"/>
                <w:highlight w:val="none"/>
              </w:rPr>
              <w:t>严格执行《医院感染管理办法》（原卫生部令第48号）和医院感染控制行业标准要求，杜绝发生重大医院感染事故。</w:t>
            </w:r>
          </w:p>
        </w:tc>
      </w:tr>
      <w:tr w14:paraId="2CDD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60" w:hRule="atLeast"/>
        </w:trPr>
        <w:tc>
          <w:tcPr>
            <w:tcW w:w="8646" w:type="dxa"/>
            <w:gridSpan w:val="4"/>
            <w:tcBorders>
              <w:left w:val="single" w:color="000000" w:sz="10" w:space="0"/>
              <w:right w:val="single" w:color="000000" w:sz="10" w:space="0"/>
            </w:tcBorders>
            <w:vAlign w:val="center"/>
          </w:tcPr>
          <w:p w14:paraId="4D9ED3B2">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十一、运营管理</w:t>
            </w:r>
          </w:p>
        </w:tc>
      </w:tr>
      <w:tr w14:paraId="17E89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898" w:hRule="atLeast"/>
        </w:trPr>
        <w:tc>
          <w:tcPr>
            <w:tcW w:w="888" w:type="dxa"/>
            <w:gridSpan w:val="2"/>
            <w:tcBorders>
              <w:left w:val="single" w:color="000000" w:sz="10" w:space="0"/>
            </w:tcBorders>
            <w:vAlign w:val="center"/>
          </w:tcPr>
          <w:p w14:paraId="76C648F3">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51</w:t>
            </w:r>
          </w:p>
        </w:tc>
        <w:tc>
          <w:tcPr>
            <w:tcW w:w="7758" w:type="dxa"/>
            <w:gridSpan w:val="2"/>
            <w:tcBorders>
              <w:right w:val="single" w:color="000000" w:sz="10" w:space="0"/>
            </w:tcBorders>
            <w:vAlign w:val="center"/>
          </w:tcPr>
          <w:p w14:paraId="21260BD6">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开展中医医疗技术符合《中医医疗技术相关性感染预防与控制指南（试行）》（国中医药办医政发〔2017〕22号）要求。</w:t>
            </w:r>
          </w:p>
        </w:tc>
      </w:tr>
      <w:tr w14:paraId="509BE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60" w:hRule="atLeast"/>
        </w:trPr>
        <w:tc>
          <w:tcPr>
            <w:tcW w:w="888" w:type="dxa"/>
            <w:gridSpan w:val="2"/>
            <w:tcBorders>
              <w:left w:val="single" w:color="000000" w:sz="10" w:space="0"/>
            </w:tcBorders>
            <w:vAlign w:val="center"/>
          </w:tcPr>
          <w:p w14:paraId="5FB9327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52</w:t>
            </w:r>
          </w:p>
        </w:tc>
        <w:tc>
          <w:tcPr>
            <w:tcW w:w="7758" w:type="dxa"/>
            <w:gridSpan w:val="2"/>
            <w:tcBorders>
              <w:right w:val="single" w:color="000000" w:sz="10" w:space="0"/>
            </w:tcBorders>
            <w:vAlign w:val="center"/>
          </w:tcPr>
          <w:p w14:paraId="7E97CDA9">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药品购置、存放、调剂、应用符合《中华人民共和国药品管理法》等规定。</w:t>
            </w:r>
          </w:p>
        </w:tc>
      </w:tr>
      <w:tr w14:paraId="098F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898" w:hRule="atLeast"/>
        </w:trPr>
        <w:tc>
          <w:tcPr>
            <w:tcW w:w="888" w:type="dxa"/>
            <w:gridSpan w:val="2"/>
            <w:tcBorders>
              <w:left w:val="single" w:color="000000" w:sz="10" w:space="0"/>
            </w:tcBorders>
            <w:vAlign w:val="center"/>
          </w:tcPr>
          <w:p w14:paraId="49714D30">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53</w:t>
            </w:r>
          </w:p>
        </w:tc>
        <w:tc>
          <w:tcPr>
            <w:tcW w:w="7758" w:type="dxa"/>
            <w:gridSpan w:val="2"/>
            <w:tcBorders>
              <w:right w:val="single" w:color="000000" w:sz="10" w:space="0"/>
            </w:tcBorders>
            <w:vAlign w:val="center"/>
          </w:tcPr>
          <w:p w14:paraId="27984E0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建立完善的医疗仪器设备操作规程、维修保养制度，并严格按照操作规程使用。</w:t>
            </w:r>
          </w:p>
        </w:tc>
      </w:tr>
      <w:tr w14:paraId="2DF5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60" w:hRule="atLeast"/>
        </w:trPr>
        <w:tc>
          <w:tcPr>
            <w:tcW w:w="888" w:type="dxa"/>
            <w:gridSpan w:val="2"/>
            <w:tcBorders>
              <w:left w:val="single" w:color="000000" w:sz="10" w:space="0"/>
            </w:tcBorders>
            <w:vAlign w:val="center"/>
          </w:tcPr>
          <w:p w14:paraId="22E93448">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54</w:t>
            </w:r>
          </w:p>
        </w:tc>
        <w:tc>
          <w:tcPr>
            <w:tcW w:w="7758" w:type="dxa"/>
            <w:gridSpan w:val="2"/>
            <w:tcBorders>
              <w:right w:val="single" w:color="000000" w:sz="10" w:space="0"/>
            </w:tcBorders>
            <w:vAlign w:val="center"/>
          </w:tcPr>
          <w:p w14:paraId="1C38416A">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服务对象档案实行一人一档管理，严格执行保密规定。</w:t>
            </w:r>
          </w:p>
        </w:tc>
      </w:tr>
      <w:tr w14:paraId="4E6FC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60" w:hRule="atLeast"/>
        </w:trPr>
        <w:tc>
          <w:tcPr>
            <w:tcW w:w="8646" w:type="dxa"/>
            <w:gridSpan w:val="4"/>
            <w:tcBorders>
              <w:left w:val="single" w:color="000000" w:sz="10" w:space="0"/>
              <w:right w:val="single" w:color="000000" w:sz="10" w:space="0"/>
            </w:tcBorders>
            <w:vAlign w:val="center"/>
          </w:tcPr>
          <w:p w14:paraId="076F233C">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十二、服务效果</w:t>
            </w:r>
          </w:p>
        </w:tc>
      </w:tr>
      <w:tr w14:paraId="444DD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60" w:hRule="atLeast"/>
        </w:trPr>
        <w:tc>
          <w:tcPr>
            <w:tcW w:w="888" w:type="dxa"/>
            <w:gridSpan w:val="2"/>
            <w:tcBorders>
              <w:left w:val="single" w:color="000000" w:sz="10" w:space="0"/>
            </w:tcBorders>
            <w:vAlign w:val="center"/>
          </w:tcPr>
          <w:p w14:paraId="2BBB577C">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55</w:t>
            </w:r>
          </w:p>
        </w:tc>
        <w:tc>
          <w:tcPr>
            <w:tcW w:w="7758" w:type="dxa"/>
            <w:gridSpan w:val="2"/>
            <w:tcBorders>
              <w:right w:val="single" w:color="000000" w:sz="10" w:space="0"/>
            </w:tcBorders>
            <w:vAlign w:val="center"/>
          </w:tcPr>
          <w:p w14:paraId="3BC9607C">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入住老年人及家属满意度95％以上。</w:t>
            </w:r>
          </w:p>
        </w:tc>
      </w:tr>
      <w:tr w14:paraId="7156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9" w:type="dxa"/>
          <w:trHeight w:val="584" w:hRule="atLeast"/>
        </w:trPr>
        <w:tc>
          <w:tcPr>
            <w:tcW w:w="888" w:type="dxa"/>
            <w:gridSpan w:val="2"/>
            <w:tcBorders>
              <w:left w:val="single" w:color="000000" w:sz="10" w:space="0"/>
              <w:bottom w:val="single" w:color="000000" w:sz="10" w:space="0"/>
            </w:tcBorders>
            <w:vAlign w:val="center"/>
          </w:tcPr>
          <w:p w14:paraId="5329D905">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center"/>
              <w:textAlignment w:val="baseline"/>
              <w:rPr>
                <w:rFonts w:hint="eastAsia" w:ascii="楷体_GB2312" w:hAnsi="楷体_GB2312" w:eastAsia="楷体_GB2312" w:cs="楷体_GB2312"/>
                <w:strike w:val="0"/>
                <w:dstrike w:val="0"/>
                <w:color w:val="auto"/>
                <w:sz w:val="28"/>
                <w:szCs w:val="28"/>
                <w:highlight w:val="none"/>
              </w:rPr>
            </w:pPr>
            <w:r>
              <w:rPr>
                <w:rFonts w:hint="eastAsia" w:ascii="楷体_GB2312" w:hAnsi="楷体_GB2312" w:eastAsia="楷体_GB2312" w:cs="楷体_GB2312"/>
                <w:strike w:val="0"/>
                <w:dstrike w:val="0"/>
                <w:color w:val="auto"/>
                <w:sz w:val="28"/>
                <w:szCs w:val="28"/>
                <w:highlight w:val="none"/>
              </w:rPr>
              <w:t>56</w:t>
            </w:r>
          </w:p>
        </w:tc>
        <w:tc>
          <w:tcPr>
            <w:tcW w:w="7758" w:type="dxa"/>
            <w:gridSpan w:val="2"/>
            <w:tcBorders>
              <w:bottom w:val="single" w:color="000000" w:sz="10" w:space="0"/>
              <w:right w:val="single" w:color="000000" w:sz="10" w:space="0"/>
            </w:tcBorders>
            <w:vAlign w:val="center"/>
          </w:tcPr>
          <w:p w14:paraId="3F13465D">
            <w:pPr>
              <w:keepNext w:val="0"/>
              <w:keepLines w:val="0"/>
              <w:pageBreakBefore w:val="0"/>
              <w:widowControl w:val="0"/>
              <w:kinsoku/>
              <w:wordWrap/>
              <w:overflowPunct/>
              <w:topLinePunct/>
              <w:autoSpaceDE w:val="0"/>
              <w:autoSpaceDN w:val="0"/>
              <w:bidi w:val="0"/>
              <w:adjustRightInd w:val="0"/>
              <w:snapToGrid w:val="0"/>
              <w:spacing w:line="340" w:lineRule="exact"/>
              <w:ind w:left="0" w:right="0"/>
              <w:jc w:val="both"/>
              <w:textAlignment w:val="baseline"/>
              <w:rPr>
                <w:rFonts w:hint="eastAsia" w:ascii="仿宋_GB2312" w:hAnsi="仿宋_GB2312" w:eastAsia="仿宋_GB2312" w:cs="仿宋_GB2312"/>
                <w:strike w:val="0"/>
                <w:dstrike w:val="0"/>
                <w:color w:val="auto"/>
                <w:spacing w:val="-11"/>
                <w:sz w:val="28"/>
                <w:szCs w:val="28"/>
                <w:highlight w:val="none"/>
              </w:rPr>
            </w:pPr>
            <w:r>
              <w:rPr>
                <w:rFonts w:hint="eastAsia" w:ascii="仿宋_GB2312" w:hAnsi="仿宋_GB2312" w:eastAsia="仿宋_GB2312" w:cs="仿宋_GB2312"/>
                <w:strike w:val="0"/>
                <w:dstrike w:val="0"/>
                <w:color w:val="auto"/>
                <w:spacing w:val="-11"/>
                <w:sz w:val="28"/>
                <w:szCs w:val="28"/>
                <w:highlight w:val="none"/>
              </w:rPr>
              <w:t>机构职工满意度85％以上。</w:t>
            </w:r>
          </w:p>
        </w:tc>
      </w:tr>
    </w:tbl>
    <w:p w14:paraId="3092AF78">
      <w:pPr>
        <w:wordWrap w:val="0"/>
        <w:jc w:val="both"/>
        <w:rPr>
          <w:rFonts w:hint="eastAsia" w:ascii="仿宋_GB2312" w:hAnsi="仿宋_GB2312" w:eastAsia="仿宋_GB2312" w:cs="仿宋_GB2312"/>
          <w:sz w:val="32"/>
          <w:szCs w:val="32"/>
          <w:highlight w:val="none"/>
          <w:lang w:val="en-US" w:eastAsia="zh-CN"/>
        </w:rPr>
      </w:pPr>
    </w:p>
    <w:sectPr>
      <w:footerReference r:id="rId3" w:type="default"/>
      <w:pgSz w:w="11906" w:h="16838"/>
      <w:pgMar w:top="1984" w:right="1531" w:bottom="1701" w:left="1531"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C9A7E-2E4C-40EE-A752-64BB141AA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29DF1C5-4D99-46F7-A890-228F8249A8A1}"/>
  </w:font>
  <w:font w:name="方正小标宋简体">
    <w:panose1 w:val="02000000000000000000"/>
    <w:charset w:val="86"/>
    <w:family w:val="auto"/>
    <w:pitch w:val="default"/>
    <w:sig w:usb0="00000001" w:usb1="08000000" w:usb2="00000000" w:usb3="00000000" w:csb0="00040000" w:csb1="00000000"/>
    <w:embedRegular r:id="rId3" w:fontKey="{8D53EF6C-DE20-4CA5-B6A1-E2549BADEADC}"/>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FCF77803-86DF-48FE-BCB2-A98FB17EC332}"/>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ED437AB3-F861-4D04-A108-0A0FA73F5A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275A">
    <w:pPr>
      <w:spacing w:line="173"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E6FD3">
                          <w:pPr>
                            <w:pStyle w:val="4"/>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8E6FD3">
                    <w:pPr>
                      <w:pStyle w:val="4"/>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2725F"/>
    <w:rsid w:val="018865F4"/>
    <w:rsid w:val="02036AEA"/>
    <w:rsid w:val="021D04ED"/>
    <w:rsid w:val="025F28B4"/>
    <w:rsid w:val="0364770F"/>
    <w:rsid w:val="03A65B7E"/>
    <w:rsid w:val="043845A7"/>
    <w:rsid w:val="04650527"/>
    <w:rsid w:val="04883843"/>
    <w:rsid w:val="049E6222"/>
    <w:rsid w:val="04BC5D9C"/>
    <w:rsid w:val="05507A0B"/>
    <w:rsid w:val="05882122"/>
    <w:rsid w:val="064C5476"/>
    <w:rsid w:val="065D535C"/>
    <w:rsid w:val="06CC7864"/>
    <w:rsid w:val="074A023A"/>
    <w:rsid w:val="07E87ADC"/>
    <w:rsid w:val="09F064B2"/>
    <w:rsid w:val="0B090D76"/>
    <w:rsid w:val="0B42734B"/>
    <w:rsid w:val="0BFC17DE"/>
    <w:rsid w:val="0C9B5C9E"/>
    <w:rsid w:val="0CAC0292"/>
    <w:rsid w:val="0CD41FCF"/>
    <w:rsid w:val="0D0504FC"/>
    <w:rsid w:val="0D136946"/>
    <w:rsid w:val="0DB05462"/>
    <w:rsid w:val="0E435FEF"/>
    <w:rsid w:val="0F364782"/>
    <w:rsid w:val="0FF10BD9"/>
    <w:rsid w:val="100A2472"/>
    <w:rsid w:val="112C6057"/>
    <w:rsid w:val="117F6ACF"/>
    <w:rsid w:val="11B22B48"/>
    <w:rsid w:val="123C2A45"/>
    <w:rsid w:val="12D405DF"/>
    <w:rsid w:val="12E23B09"/>
    <w:rsid w:val="141805DF"/>
    <w:rsid w:val="145A6D19"/>
    <w:rsid w:val="15080B89"/>
    <w:rsid w:val="1522548D"/>
    <w:rsid w:val="15D373E9"/>
    <w:rsid w:val="163A3422"/>
    <w:rsid w:val="16782195"/>
    <w:rsid w:val="168049E1"/>
    <w:rsid w:val="16983E19"/>
    <w:rsid w:val="17107750"/>
    <w:rsid w:val="174F0CF1"/>
    <w:rsid w:val="17BF5D4B"/>
    <w:rsid w:val="17C90AA4"/>
    <w:rsid w:val="17C92604"/>
    <w:rsid w:val="185A2B5E"/>
    <w:rsid w:val="18890233"/>
    <w:rsid w:val="1A976677"/>
    <w:rsid w:val="1AAE26E1"/>
    <w:rsid w:val="1B010554"/>
    <w:rsid w:val="1B2765F9"/>
    <w:rsid w:val="1B4D1494"/>
    <w:rsid w:val="1C6333E7"/>
    <w:rsid w:val="1D8B0825"/>
    <w:rsid w:val="1EF671B7"/>
    <w:rsid w:val="1F262D0B"/>
    <w:rsid w:val="1FEA4D18"/>
    <w:rsid w:val="1FEC2FE3"/>
    <w:rsid w:val="21942242"/>
    <w:rsid w:val="22694385"/>
    <w:rsid w:val="22CC3892"/>
    <w:rsid w:val="22D402FC"/>
    <w:rsid w:val="23342E4F"/>
    <w:rsid w:val="233C3173"/>
    <w:rsid w:val="23681B5E"/>
    <w:rsid w:val="23776D4F"/>
    <w:rsid w:val="241D37E6"/>
    <w:rsid w:val="24201B09"/>
    <w:rsid w:val="24367D3C"/>
    <w:rsid w:val="249C2DAA"/>
    <w:rsid w:val="24AB0987"/>
    <w:rsid w:val="24E401F7"/>
    <w:rsid w:val="258B7857"/>
    <w:rsid w:val="260C1994"/>
    <w:rsid w:val="26147325"/>
    <w:rsid w:val="261A4487"/>
    <w:rsid w:val="264C7945"/>
    <w:rsid w:val="270D5A50"/>
    <w:rsid w:val="273121C1"/>
    <w:rsid w:val="280B3A9E"/>
    <w:rsid w:val="29741F0F"/>
    <w:rsid w:val="2A5A37DD"/>
    <w:rsid w:val="2AB71587"/>
    <w:rsid w:val="2ADA66CC"/>
    <w:rsid w:val="2B3D68B2"/>
    <w:rsid w:val="2B3E03DE"/>
    <w:rsid w:val="2BEF2F34"/>
    <w:rsid w:val="2C7C43F3"/>
    <w:rsid w:val="2C7F752B"/>
    <w:rsid w:val="2CBA6005"/>
    <w:rsid w:val="2CEF2903"/>
    <w:rsid w:val="2D345679"/>
    <w:rsid w:val="2D391DD0"/>
    <w:rsid w:val="2D8114FB"/>
    <w:rsid w:val="2D870D8D"/>
    <w:rsid w:val="2E6609A2"/>
    <w:rsid w:val="2EEB0EA8"/>
    <w:rsid w:val="2FE24073"/>
    <w:rsid w:val="2FF65D56"/>
    <w:rsid w:val="30046BB0"/>
    <w:rsid w:val="300E33E8"/>
    <w:rsid w:val="30562C99"/>
    <w:rsid w:val="3068585D"/>
    <w:rsid w:val="30937A49"/>
    <w:rsid w:val="30983B16"/>
    <w:rsid w:val="31041376"/>
    <w:rsid w:val="314A0DFF"/>
    <w:rsid w:val="321626E0"/>
    <w:rsid w:val="32BA12BD"/>
    <w:rsid w:val="332039AE"/>
    <w:rsid w:val="33A1247D"/>
    <w:rsid w:val="34185F28"/>
    <w:rsid w:val="352F17D1"/>
    <w:rsid w:val="353B0927"/>
    <w:rsid w:val="35557E73"/>
    <w:rsid w:val="358956F9"/>
    <w:rsid w:val="364325F9"/>
    <w:rsid w:val="36F86858"/>
    <w:rsid w:val="36FD79CA"/>
    <w:rsid w:val="37A61E10"/>
    <w:rsid w:val="37D45A6D"/>
    <w:rsid w:val="38157F0F"/>
    <w:rsid w:val="3A451DB4"/>
    <w:rsid w:val="3A812851"/>
    <w:rsid w:val="3B1E2B74"/>
    <w:rsid w:val="3B2040D1"/>
    <w:rsid w:val="3B4D7E2C"/>
    <w:rsid w:val="3B556027"/>
    <w:rsid w:val="3BE36EAF"/>
    <w:rsid w:val="3C166F5B"/>
    <w:rsid w:val="3CCB184F"/>
    <w:rsid w:val="3D204D70"/>
    <w:rsid w:val="3E834F56"/>
    <w:rsid w:val="3FEC2687"/>
    <w:rsid w:val="4001677D"/>
    <w:rsid w:val="40AD562A"/>
    <w:rsid w:val="40BD575E"/>
    <w:rsid w:val="40EC2905"/>
    <w:rsid w:val="40EF78AD"/>
    <w:rsid w:val="415E4174"/>
    <w:rsid w:val="418A79BA"/>
    <w:rsid w:val="41E33F3D"/>
    <w:rsid w:val="42446DF5"/>
    <w:rsid w:val="429F227D"/>
    <w:rsid w:val="42F17DE3"/>
    <w:rsid w:val="42FC368D"/>
    <w:rsid w:val="437C6D95"/>
    <w:rsid w:val="449C0F82"/>
    <w:rsid w:val="44D06B35"/>
    <w:rsid w:val="454C301F"/>
    <w:rsid w:val="45603F46"/>
    <w:rsid w:val="45BF4C0B"/>
    <w:rsid w:val="46840CD8"/>
    <w:rsid w:val="46872E42"/>
    <w:rsid w:val="469B78E4"/>
    <w:rsid w:val="46CB2631"/>
    <w:rsid w:val="46D11FBC"/>
    <w:rsid w:val="47685334"/>
    <w:rsid w:val="47EC1AC1"/>
    <w:rsid w:val="480C5CBF"/>
    <w:rsid w:val="486B32D8"/>
    <w:rsid w:val="487C4525"/>
    <w:rsid w:val="488942EF"/>
    <w:rsid w:val="48A4573B"/>
    <w:rsid w:val="49227703"/>
    <w:rsid w:val="49A75022"/>
    <w:rsid w:val="49FB248F"/>
    <w:rsid w:val="4B7943BD"/>
    <w:rsid w:val="4B982BB3"/>
    <w:rsid w:val="4BCD71F4"/>
    <w:rsid w:val="4C160075"/>
    <w:rsid w:val="4C235268"/>
    <w:rsid w:val="4CCF7FF0"/>
    <w:rsid w:val="4EDE2BD4"/>
    <w:rsid w:val="4F26024A"/>
    <w:rsid w:val="5019366F"/>
    <w:rsid w:val="51DD4A47"/>
    <w:rsid w:val="530E2672"/>
    <w:rsid w:val="53185E60"/>
    <w:rsid w:val="5330578F"/>
    <w:rsid w:val="54322F51"/>
    <w:rsid w:val="544C45A3"/>
    <w:rsid w:val="554D4606"/>
    <w:rsid w:val="55E00EA4"/>
    <w:rsid w:val="56273AC2"/>
    <w:rsid w:val="565371AF"/>
    <w:rsid w:val="56970B0D"/>
    <w:rsid w:val="56BE0ACC"/>
    <w:rsid w:val="56CD6F61"/>
    <w:rsid w:val="57597E5D"/>
    <w:rsid w:val="575B0FEC"/>
    <w:rsid w:val="57AC6B77"/>
    <w:rsid w:val="58E74307"/>
    <w:rsid w:val="5A396CCA"/>
    <w:rsid w:val="5B402059"/>
    <w:rsid w:val="5B406DFF"/>
    <w:rsid w:val="5B702693"/>
    <w:rsid w:val="5BD0367D"/>
    <w:rsid w:val="5BE36733"/>
    <w:rsid w:val="5C4946BC"/>
    <w:rsid w:val="5CBE0A15"/>
    <w:rsid w:val="5D2378DB"/>
    <w:rsid w:val="60536729"/>
    <w:rsid w:val="605A3CA3"/>
    <w:rsid w:val="60994DBF"/>
    <w:rsid w:val="60B90C1E"/>
    <w:rsid w:val="61FE7F75"/>
    <w:rsid w:val="62D06E9C"/>
    <w:rsid w:val="634265E1"/>
    <w:rsid w:val="63F21DB5"/>
    <w:rsid w:val="64FC371E"/>
    <w:rsid w:val="65081261"/>
    <w:rsid w:val="65110961"/>
    <w:rsid w:val="657466C2"/>
    <w:rsid w:val="65D57BE0"/>
    <w:rsid w:val="66303069"/>
    <w:rsid w:val="66E53170"/>
    <w:rsid w:val="678B49FB"/>
    <w:rsid w:val="6963061C"/>
    <w:rsid w:val="696571F5"/>
    <w:rsid w:val="69C67A46"/>
    <w:rsid w:val="69FC110C"/>
    <w:rsid w:val="6AAE3844"/>
    <w:rsid w:val="6AFD4CD4"/>
    <w:rsid w:val="6B9460A6"/>
    <w:rsid w:val="6B9B26C5"/>
    <w:rsid w:val="6BCF356C"/>
    <w:rsid w:val="6C7123D9"/>
    <w:rsid w:val="6D58034B"/>
    <w:rsid w:val="6D9263B7"/>
    <w:rsid w:val="6DB95CA0"/>
    <w:rsid w:val="6E2351A3"/>
    <w:rsid w:val="6E3A103C"/>
    <w:rsid w:val="6E3A14E9"/>
    <w:rsid w:val="6F20257D"/>
    <w:rsid w:val="70A95EF1"/>
    <w:rsid w:val="70F80C27"/>
    <w:rsid w:val="71092E34"/>
    <w:rsid w:val="711165E6"/>
    <w:rsid w:val="71930ACC"/>
    <w:rsid w:val="71B703F1"/>
    <w:rsid w:val="71C10F79"/>
    <w:rsid w:val="721F2C81"/>
    <w:rsid w:val="725F4E7C"/>
    <w:rsid w:val="72AE3E4D"/>
    <w:rsid w:val="72D9071F"/>
    <w:rsid w:val="730E5955"/>
    <w:rsid w:val="73F1225A"/>
    <w:rsid w:val="74BF2D99"/>
    <w:rsid w:val="74FF4332"/>
    <w:rsid w:val="750C66AA"/>
    <w:rsid w:val="75CA180F"/>
    <w:rsid w:val="75D13FC1"/>
    <w:rsid w:val="7620198B"/>
    <w:rsid w:val="765336FE"/>
    <w:rsid w:val="76981E32"/>
    <w:rsid w:val="7788371F"/>
    <w:rsid w:val="782F0150"/>
    <w:rsid w:val="78E45113"/>
    <w:rsid w:val="792D19E4"/>
    <w:rsid w:val="79615DEF"/>
    <w:rsid w:val="79BD656A"/>
    <w:rsid w:val="79D35D8D"/>
    <w:rsid w:val="79D43FC4"/>
    <w:rsid w:val="7A49402A"/>
    <w:rsid w:val="7A6115EB"/>
    <w:rsid w:val="7AD52074"/>
    <w:rsid w:val="7AE96C13"/>
    <w:rsid w:val="7B0C4F98"/>
    <w:rsid w:val="7BC63A3B"/>
    <w:rsid w:val="7CBB1EEB"/>
    <w:rsid w:val="7CCD2C16"/>
    <w:rsid w:val="7D327A2B"/>
    <w:rsid w:val="7D554115"/>
    <w:rsid w:val="7F072EAB"/>
    <w:rsid w:val="7FE94F6A"/>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qFormat/>
    <w:uiPriority w:val="0"/>
    <w:pPr>
      <w:spacing w:line="640" w:lineRule="exact"/>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99"/>
    <w:pPr>
      <w:snapToGrid w:val="0"/>
      <w:spacing w:line="640" w:lineRule="exact"/>
      <w:ind w:firstLine="705"/>
    </w:pPr>
    <w:rPr>
      <w:rFonts w:hint="eastAsia" w:ascii="仿宋_GB2312" w:eastAsia="仿宋_GB2312"/>
      <w:color w:val="000000"/>
      <w:sz w:val="36"/>
    </w:rPr>
  </w:style>
  <w:style w:type="paragraph" w:styleId="7">
    <w:name w:val="Body Text First Indent 2"/>
    <w:basedOn w:val="3"/>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1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4bd947b1-01f8-4e14-95d2-08029fc66b01</errorID>
      <errorWord>作系统</errorWord>
      <group>L1_Word</group>
      <groupName>字词问题</groupName>
      <ability>L2_Alias</ability>
      <abilityName>也作/曾用词</abilityName>
      <candidateList>
        <item>做系统</item>
      </candidateList>
      <explain>词汇[作系统]为不规范表述或旧称，其规范书面表述为[做系统]。</explain>
      <paraID>26576D0B</paraID>
      <start>15</start>
      <end>18</end>
      <status>unmodified</status>
      <modifiedWord/>
      <trackRevisions>false</trackRevisions>
    </reviewItem>
    <reviewItem>
      <errorID>472841bc-f060-4fe2-a020-b605395362ea</errorID>
      <errorWord>噪音</errorWord>
      <group>L1_Word</group>
      <groupName>字词问题</groupName>
      <ability>L2_Alias</ability>
      <abilityName>也作/曾用词</abilityName>
      <candidateList>
        <item>噪声</item>
      </candidateList>
      <explain>词汇[噪音]为不规范表述或旧称，其规范书面表述为[噪声]。</explain>
      <paraID>755AC006</paraID>
      <start>10</start>
      <end>12</end>
      <status>unmodified</status>
      <modifiedWord/>
      <trackRevisions>false</trackRevisions>
    </reviewItem>
    <reviewItem>
      <errorID>7976ebb8-1709-40be-bfb3-9791a29f9060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1A3A9DE6</paraID>
      <start>16</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78976-9353-4797-92c8-0584f363640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8190</Words>
  <Characters>8493</Characters>
  <Lines>0</Lines>
  <Paragraphs>0</Paragraphs>
  <TotalTime>12</TotalTime>
  <ScaleCrop>false</ScaleCrop>
  <LinksUpToDate>false</LinksUpToDate>
  <CharactersWithSpaces>8603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2023-10-17T11:44:00Z</dcterms:created>
  <dc:creator>70218</dc:creator>
  <cp:lastModifiedBy>李舒月</cp:lastModifiedBy>
  <cp:lastPrinted>2026-05-29T03:18:00Z</cp:lastPrinted>
  <dcterms:modified xsi:type="dcterms:W3CDTF">2026-06-26T08:35:08Z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D3F906ACC86643BB8C45147E78463046_13</vt:lpwstr>
  </property>
  <property fmtid="{D5CDD505-2E9C-101B-9397-08002B2CF9AE}" pid="4" name="KSOTemplateDocerSaveRecord">
    <vt:lpwstr>eyJoZGlkIjoiMjA5YzU0YWI5NWNiMThkYjBmZTRiN2MzZTc1YWYxY2QiLCJ1c2VySWQiOiIxNzY4Mzc4MTMxIn0=</vt:lpwstr>
  </property>
</Properties>
</file>